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562A4" w14:textId="77777777" w:rsidR="00DA36E8" w:rsidRDefault="00DA36E8">
      <w:pPr>
        <w:sectPr w:rsidR="00DA36E8" w:rsidSect="006832DD">
          <w:headerReference w:type="even" r:id="rId8"/>
          <w:headerReference w:type="default" r:id="rId9"/>
          <w:footerReference w:type="default" r:id="rId10"/>
          <w:type w:val="continuous"/>
          <w:pgSz w:w="12240" w:h="15840" w:code="1"/>
          <w:pgMar w:top="1440" w:right="1440" w:bottom="1440" w:left="1440" w:header="720" w:footer="720" w:gutter="0"/>
          <w:cols w:space="720"/>
        </w:sectPr>
      </w:pPr>
    </w:p>
    <w:p w14:paraId="47941E5C" w14:textId="363EE0F5" w:rsidR="00D22E0E" w:rsidRPr="001F69FA" w:rsidRDefault="00D22E0E" w:rsidP="00D22E0E">
      <w:pPr>
        <w:tabs>
          <w:tab w:val="left" w:pos="1440"/>
        </w:tabs>
        <w:rPr>
          <w:sz w:val="24"/>
          <w:szCs w:val="24"/>
        </w:rPr>
      </w:pPr>
      <w:r w:rsidRPr="001F69FA">
        <w:rPr>
          <w:b/>
          <w:sz w:val="24"/>
          <w:szCs w:val="24"/>
        </w:rPr>
        <w:t>T</w:t>
      </w:r>
      <w:r>
        <w:rPr>
          <w:b/>
          <w:sz w:val="24"/>
          <w:szCs w:val="24"/>
        </w:rPr>
        <w:t>O</w:t>
      </w:r>
      <w:r w:rsidRPr="001F69FA">
        <w:rPr>
          <w:b/>
          <w:sz w:val="24"/>
          <w:szCs w:val="24"/>
        </w:rPr>
        <w:t>:</w:t>
      </w:r>
      <w:r w:rsidRPr="001F69FA">
        <w:rPr>
          <w:sz w:val="24"/>
          <w:szCs w:val="24"/>
        </w:rPr>
        <w:tab/>
      </w:r>
      <w:r w:rsidR="00FF3401">
        <w:rPr>
          <w:sz w:val="24"/>
          <w:szCs w:val="24"/>
        </w:rPr>
        <w:t>For</w:t>
      </w:r>
      <w:r w:rsidR="00601867">
        <w:rPr>
          <w:sz w:val="24"/>
          <w:szCs w:val="24"/>
        </w:rPr>
        <w:t>r</w:t>
      </w:r>
      <w:r w:rsidR="00FF3401">
        <w:rPr>
          <w:sz w:val="24"/>
          <w:szCs w:val="24"/>
        </w:rPr>
        <w:t>est Smith</w:t>
      </w:r>
      <w:r>
        <w:rPr>
          <w:sz w:val="24"/>
          <w:szCs w:val="24"/>
        </w:rPr>
        <w:t xml:space="preserve">, </w:t>
      </w:r>
      <w:r w:rsidRPr="001F69FA">
        <w:rPr>
          <w:sz w:val="24"/>
          <w:szCs w:val="24"/>
        </w:rPr>
        <w:t>Attorney</w:t>
      </w:r>
    </w:p>
    <w:p w14:paraId="185D7CE7" w14:textId="77777777" w:rsidR="00D22E0E" w:rsidRPr="001F69FA" w:rsidRDefault="00D22E0E" w:rsidP="00D22E0E">
      <w:pPr>
        <w:ind w:left="720" w:firstLine="720"/>
        <w:rPr>
          <w:sz w:val="24"/>
          <w:szCs w:val="24"/>
        </w:rPr>
      </w:pPr>
      <w:r w:rsidRPr="001F69FA">
        <w:rPr>
          <w:sz w:val="24"/>
          <w:szCs w:val="24"/>
        </w:rPr>
        <w:t>Legal Division</w:t>
      </w:r>
    </w:p>
    <w:p w14:paraId="558D5659" w14:textId="77777777" w:rsidR="00D22E0E" w:rsidRPr="001F69FA" w:rsidRDefault="00D22E0E" w:rsidP="00D22E0E">
      <w:pPr>
        <w:rPr>
          <w:sz w:val="24"/>
          <w:szCs w:val="24"/>
        </w:rPr>
      </w:pPr>
    </w:p>
    <w:p w14:paraId="2A368986" w14:textId="651E2290" w:rsidR="00D22E0E" w:rsidRPr="001F69FA" w:rsidRDefault="00D22E0E" w:rsidP="00D22E0E">
      <w:pPr>
        <w:tabs>
          <w:tab w:val="left" w:pos="1440"/>
        </w:tabs>
        <w:rPr>
          <w:sz w:val="24"/>
          <w:szCs w:val="24"/>
        </w:rPr>
      </w:pPr>
      <w:r w:rsidRPr="001F69FA">
        <w:rPr>
          <w:b/>
          <w:sz w:val="24"/>
          <w:szCs w:val="24"/>
        </w:rPr>
        <w:t>F</w:t>
      </w:r>
      <w:r>
        <w:rPr>
          <w:b/>
          <w:sz w:val="24"/>
          <w:szCs w:val="24"/>
        </w:rPr>
        <w:t>ROM</w:t>
      </w:r>
      <w:r w:rsidRPr="001F69FA">
        <w:rPr>
          <w:b/>
          <w:sz w:val="24"/>
          <w:szCs w:val="24"/>
        </w:rPr>
        <w:t>:</w:t>
      </w:r>
      <w:r w:rsidRPr="001F69FA">
        <w:rPr>
          <w:sz w:val="24"/>
          <w:szCs w:val="24"/>
        </w:rPr>
        <w:tab/>
      </w:r>
      <w:r>
        <w:rPr>
          <w:sz w:val="24"/>
          <w:szCs w:val="24"/>
        </w:rPr>
        <w:t>Leila Guerrero</w:t>
      </w:r>
      <w:r w:rsidRPr="001F69FA">
        <w:rPr>
          <w:sz w:val="24"/>
          <w:szCs w:val="24"/>
        </w:rPr>
        <w:t>,</w:t>
      </w:r>
      <w:r>
        <w:rPr>
          <w:sz w:val="24"/>
          <w:szCs w:val="24"/>
        </w:rPr>
        <w:t xml:space="preserve"> Regulatory Accountant</w:t>
      </w:r>
    </w:p>
    <w:p w14:paraId="09469075" w14:textId="77777777" w:rsidR="00D22E0E" w:rsidRPr="001F69FA" w:rsidRDefault="00D22E0E" w:rsidP="00D22E0E">
      <w:pPr>
        <w:tabs>
          <w:tab w:val="left" w:pos="1440"/>
        </w:tabs>
        <w:rPr>
          <w:sz w:val="24"/>
          <w:szCs w:val="24"/>
        </w:rPr>
      </w:pPr>
      <w:r w:rsidRPr="001F69FA">
        <w:rPr>
          <w:sz w:val="24"/>
          <w:szCs w:val="24"/>
        </w:rPr>
        <w:tab/>
        <w:t>Rate Regulation Division</w:t>
      </w:r>
    </w:p>
    <w:p w14:paraId="73208383" w14:textId="77777777" w:rsidR="00D22E0E" w:rsidRPr="001F69FA" w:rsidRDefault="00D22E0E" w:rsidP="00D22E0E">
      <w:pPr>
        <w:tabs>
          <w:tab w:val="left" w:pos="1440"/>
        </w:tabs>
        <w:ind w:left="1440" w:hanging="1440"/>
        <w:rPr>
          <w:sz w:val="24"/>
          <w:szCs w:val="24"/>
        </w:rPr>
      </w:pPr>
    </w:p>
    <w:p w14:paraId="41621C78" w14:textId="454D3624" w:rsidR="00D22E0E" w:rsidRPr="001F69FA" w:rsidRDefault="00D22E0E" w:rsidP="00D22E0E">
      <w:pPr>
        <w:tabs>
          <w:tab w:val="left" w:pos="1440"/>
          <w:tab w:val="right" w:pos="9360"/>
        </w:tabs>
        <w:rPr>
          <w:color w:val="FF0000"/>
          <w:sz w:val="24"/>
          <w:szCs w:val="24"/>
        </w:rPr>
      </w:pPr>
      <w:r w:rsidRPr="001F69FA">
        <w:rPr>
          <w:b/>
          <w:sz w:val="24"/>
          <w:szCs w:val="24"/>
        </w:rPr>
        <w:t>D</w:t>
      </w:r>
      <w:r>
        <w:rPr>
          <w:b/>
          <w:sz w:val="24"/>
          <w:szCs w:val="24"/>
        </w:rPr>
        <w:t>ATE</w:t>
      </w:r>
      <w:r w:rsidRPr="001F69FA">
        <w:rPr>
          <w:b/>
          <w:sz w:val="24"/>
          <w:szCs w:val="24"/>
        </w:rPr>
        <w:t>:</w:t>
      </w:r>
      <w:r w:rsidRPr="001F69FA">
        <w:rPr>
          <w:sz w:val="24"/>
          <w:szCs w:val="24"/>
        </w:rPr>
        <w:t xml:space="preserve">  </w:t>
      </w:r>
      <w:r w:rsidRPr="001F69FA">
        <w:rPr>
          <w:sz w:val="24"/>
          <w:szCs w:val="24"/>
        </w:rPr>
        <w:tab/>
      </w:r>
      <w:sdt>
        <w:sdtPr>
          <w:rPr>
            <w:sz w:val="24"/>
            <w:szCs w:val="24"/>
          </w:rPr>
          <w:id w:val="32544021"/>
          <w:placeholder>
            <w:docPart w:val="C26EFBFE829647DAAF3967F40283D8A3"/>
          </w:placeholder>
          <w:text/>
        </w:sdtPr>
        <w:sdtEndPr/>
        <w:sdtContent>
          <w:r w:rsidR="009C230F">
            <w:rPr>
              <w:sz w:val="24"/>
              <w:szCs w:val="24"/>
            </w:rPr>
            <w:t xml:space="preserve">December 6, </w:t>
          </w:r>
          <w:r w:rsidR="006F50CF">
            <w:rPr>
              <w:sz w:val="24"/>
              <w:szCs w:val="24"/>
            </w:rPr>
            <w:t>202</w:t>
          </w:r>
          <w:r w:rsidR="00376254">
            <w:rPr>
              <w:sz w:val="24"/>
              <w:szCs w:val="24"/>
            </w:rPr>
            <w:t>1</w:t>
          </w:r>
        </w:sdtContent>
      </w:sdt>
    </w:p>
    <w:p w14:paraId="6BEB0660" w14:textId="77777777" w:rsidR="00D22E0E" w:rsidRPr="001F69FA" w:rsidRDefault="00D22E0E" w:rsidP="00D22E0E">
      <w:pPr>
        <w:ind w:left="1440" w:right="-450" w:hanging="1440"/>
        <w:rPr>
          <w:b/>
          <w:sz w:val="24"/>
          <w:szCs w:val="24"/>
        </w:rPr>
      </w:pPr>
    </w:p>
    <w:p w14:paraId="32608876" w14:textId="43389621" w:rsidR="00D22E0E" w:rsidRPr="00FF3401" w:rsidRDefault="006832DD" w:rsidP="00CB32A6">
      <w:pPr>
        <w:tabs>
          <w:tab w:val="left" w:pos="1440"/>
        </w:tabs>
        <w:ind w:left="1440" w:hanging="1440"/>
        <w:jc w:val="both"/>
        <w:rPr>
          <w:i/>
          <w:sz w:val="24"/>
          <w:szCs w:val="24"/>
        </w:rPr>
      </w:pPr>
      <w:r>
        <w:rPr>
          <w:b/>
          <w:sz w:val="24"/>
          <w:szCs w:val="24"/>
        </w:rPr>
        <w:t>SUBJECT:</w:t>
      </w:r>
      <w:r w:rsidR="00D22E0E" w:rsidRPr="001F69FA">
        <w:rPr>
          <w:b/>
          <w:sz w:val="24"/>
          <w:szCs w:val="24"/>
        </w:rPr>
        <w:tab/>
      </w:r>
      <w:r w:rsidR="00D22E0E" w:rsidRPr="00FF3401">
        <w:rPr>
          <w:b/>
          <w:sz w:val="24"/>
          <w:szCs w:val="24"/>
        </w:rPr>
        <w:t xml:space="preserve">Docket No. </w:t>
      </w:r>
      <w:sdt>
        <w:sdtPr>
          <w:rPr>
            <w:b/>
            <w:sz w:val="24"/>
            <w:szCs w:val="24"/>
          </w:rPr>
          <w:alias w:val="Applicant Name"/>
          <w:tag w:val="Applicant Name"/>
          <w:id w:val="446904641"/>
          <w:placeholder>
            <w:docPart w:val="518B4ED4C67A4681A5F9EB06B489242C"/>
          </w:placeholder>
        </w:sdtPr>
        <w:sdtEndPr/>
        <w:sdtContent>
          <w:r w:rsidR="00D22E0E" w:rsidRPr="00FF3401">
            <w:rPr>
              <w:b/>
              <w:sz w:val="24"/>
              <w:szCs w:val="24"/>
            </w:rPr>
            <w:t>5</w:t>
          </w:r>
          <w:r w:rsidR="00376254" w:rsidRPr="00FF3401">
            <w:rPr>
              <w:b/>
              <w:sz w:val="24"/>
              <w:szCs w:val="24"/>
            </w:rPr>
            <w:t>262</w:t>
          </w:r>
          <w:r w:rsidR="00D22E0E" w:rsidRPr="00FF3401">
            <w:rPr>
              <w:b/>
              <w:sz w:val="24"/>
              <w:szCs w:val="24"/>
            </w:rPr>
            <w:t>8</w:t>
          </w:r>
        </w:sdtContent>
      </w:sdt>
      <w:r w:rsidR="00D22E0E" w:rsidRPr="00FF3401">
        <w:rPr>
          <w:b/>
          <w:sz w:val="24"/>
          <w:szCs w:val="24"/>
        </w:rPr>
        <w:t xml:space="preserve"> –</w:t>
      </w:r>
      <w:r w:rsidR="00D22E0E" w:rsidRPr="00FF3401">
        <w:rPr>
          <w:sz w:val="24"/>
          <w:szCs w:val="24"/>
        </w:rPr>
        <w:t xml:space="preserve"> </w:t>
      </w:r>
      <w:r w:rsidR="00D22E0E" w:rsidRPr="00FF3401">
        <w:rPr>
          <w:i/>
          <w:sz w:val="24"/>
          <w:szCs w:val="24"/>
        </w:rPr>
        <w:t>Application of</w:t>
      </w:r>
      <w:r w:rsidR="00FF3401" w:rsidRPr="00FF3401">
        <w:rPr>
          <w:i/>
          <w:sz w:val="24"/>
          <w:szCs w:val="24"/>
        </w:rPr>
        <w:t xml:space="preserve"> Triton Texas Holdings, LLC for Approval of Changes in Ownership Under Texas Water Code § 13.302</w:t>
      </w:r>
    </w:p>
    <w:p w14:paraId="598F7226" w14:textId="6E125326" w:rsidR="008C469B" w:rsidRDefault="00D22E0E" w:rsidP="00D22E0E">
      <w:pPr>
        <w:ind w:left="1440" w:right="-450" w:hanging="1440"/>
        <w:rPr>
          <w:strike/>
          <w:sz w:val="24"/>
        </w:rPr>
      </w:pPr>
      <w:r w:rsidRPr="001F69FA">
        <w:rPr>
          <w:b/>
          <w:sz w:val="24"/>
          <w:szCs w:val="24"/>
        </w:rPr>
        <w:tab/>
      </w:r>
      <w:r>
        <w:rPr>
          <w:noProof/>
          <w:sz w:val="24"/>
        </w:rPr>
        <mc:AlternateContent>
          <mc:Choice Requires="wps">
            <w:drawing>
              <wp:anchor distT="0" distB="0" distL="114300" distR="114300" simplePos="0" relativeHeight="251660288" behindDoc="0" locked="0" layoutInCell="1" allowOverlap="1" wp14:anchorId="470CA827" wp14:editId="4B9BA9AC">
                <wp:simplePos x="0" y="0"/>
                <wp:positionH relativeFrom="column">
                  <wp:posOffset>9525</wp:posOffset>
                </wp:positionH>
                <wp:positionV relativeFrom="paragraph">
                  <wp:posOffset>118745</wp:posOffset>
                </wp:positionV>
                <wp:extent cx="5943600" cy="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A25E3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"/>
            </w:pict>
          </mc:Fallback>
        </mc:AlternateContent>
      </w:r>
      <w:r>
        <w:rPr>
          <w:sz w:val="24"/>
        </w:rPr>
        <w:tab/>
      </w:r>
    </w:p>
    <w:p w14:paraId="70877098" w14:textId="77777777" w:rsidR="00FF3401" w:rsidRDefault="00FF3401" w:rsidP="00D22E0E">
      <w:pPr>
        <w:autoSpaceDE w:val="0"/>
        <w:autoSpaceDN w:val="0"/>
        <w:adjustRightInd w:val="0"/>
        <w:jc w:val="both"/>
        <w:rPr>
          <w:rFonts w:eastAsiaTheme="minorHAnsi"/>
          <w:color w:val="000000"/>
          <w:sz w:val="24"/>
          <w:szCs w:val="24"/>
        </w:rPr>
      </w:pPr>
    </w:p>
    <w:p w14:paraId="4E98E792" w14:textId="7ED9CF02" w:rsidR="00FF3401" w:rsidRPr="00841BCC" w:rsidRDefault="00FF3401" w:rsidP="00FF3401">
      <w:pPr>
        <w:pStyle w:val="Default"/>
        <w:jc w:val="both"/>
        <w:rPr>
          <w:rFonts w:ascii="Times New Roman" w:hAnsi="Times New Roman" w:cs="Times New Roman"/>
          <w:color w:val="auto"/>
        </w:rPr>
      </w:pPr>
      <w:r w:rsidRPr="00F70B15">
        <w:rPr>
          <w:rFonts w:ascii="Times New Roman" w:eastAsiaTheme="minorHAnsi" w:hAnsi="Times New Roman" w:cs="Times New Roman"/>
        </w:rPr>
        <w:t xml:space="preserve">On September 22, 2021, </w:t>
      </w:r>
      <w:r w:rsidRPr="00F70B15">
        <w:rPr>
          <w:rFonts w:ascii="Times New Roman" w:hAnsi="Times New Roman" w:cs="Times New Roman"/>
          <w:iCs/>
        </w:rPr>
        <w:t>Triton Texas Holding LLC</w:t>
      </w:r>
      <w:r w:rsidR="00491B77">
        <w:rPr>
          <w:rFonts w:ascii="Times New Roman" w:hAnsi="Times New Roman" w:cs="Times New Roman"/>
          <w:iCs/>
        </w:rPr>
        <w:t xml:space="preserve"> (TTH)</w:t>
      </w:r>
      <w:r w:rsidRPr="00F70B15">
        <w:rPr>
          <w:rFonts w:ascii="Times New Roman" w:hAnsi="Times New Roman" w:cs="Times New Roman"/>
          <w:iCs/>
        </w:rPr>
        <w:t xml:space="preserve">, The Kauffman Family Living Trust, </w:t>
      </w:r>
      <w:r>
        <w:rPr>
          <w:rFonts w:ascii="Times New Roman" w:hAnsi="Times New Roman" w:cs="Times New Roman"/>
          <w:iCs/>
        </w:rPr>
        <w:t>d</w:t>
      </w:r>
      <w:r w:rsidRPr="00F70B15">
        <w:rPr>
          <w:rFonts w:ascii="Times New Roman" w:hAnsi="Times New Roman" w:cs="Times New Roman"/>
          <w:iCs/>
        </w:rPr>
        <w:t xml:space="preserve">ated April 9, 2015, Disciple Asset Holdings, LP, and Malakoff Family Holdings, LP, </w:t>
      </w:r>
      <w:r w:rsidR="00FB68C3" w:rsidRPr="00AB662E">
        <w:rPr>
          <w:rFonts w:ascii="Times New Roman" w:hAnsi="Times New Roman" w:cs="Times New Roman"/>
        </w:rPr>
        <w:t>(the Interest Holders)</w:t>
      </w:r>
      <w:r w:rsidR="00FB68C3" w:rsidRPr="00FB68C3">
        <w:rPr>
          <w:rFonts w:ascii="Times New Roman" w:eastAsiaTheme="minorHAnsi" w:hAnsi="Times New Roman" w:cs="Times New Roman"/>
          <w:iCs/>
        </w:rPr>
        <w:t xml:space="preserve"> </w:t>
      </w:r>
      <w:r w:rsidRPr="00F70B15">
        <w:rPr>
          <w:rFonts w:ascii="Times New Roman" w:eastAsiaTheme="minorHAnsi" w:hAnsi="Times New Roman" w:cs="Times New Roman"/>
          <w:iCs/>
        </w:rPr>
        <w:t>(collectively, Applicants) filed a request for approval</w:t>
      </w:r>
      <w:r>
        <w:rPr>
          <w:rFonts w:ascii="Times New Roman" w:eastAsiaTheme="minorHAnsi" w:hAnsi="Times New Roman" w:cs="Times New Roman"/>
          <w:iCs/>
        </w:rPr>
        <w:t xml:space="preserve"> of </w:t>
      </w:r>
      <w:r w:rsidRPr="00F70B15">
        <w:rPr>
          <w:rFonts w:ascii="Times New Roman" w:eastAsiaTheme="minorHAnsi" w:hAnsi="Times New Roman" w:cs="Times New Roman"/>
          <w:iCs/>
        </w:rPr>
        <w:t>changes in ownership of Horseshoe Bend Water Company LLC (Horseshoe Bend)</w:t>
      </w:r>
      <w:r w:rsidR="00491B77">
        <w:rPr>
          <w:rFonts w:ascii="Times New Roman" w:eastAsiaTheme="minorHAnsi" w:hAnsi="Times New Roman" w:cs="Times New Roman"/>
          <w:iCs/>
        </w:rPr>
        <w:t>, which provides water utility service to customers in</w:t>
      </w:r>
      <w:r w:rsidR="000E7A68">
        <w:rPr>
          <w:rFonts w:ascii="Times New Roman" w:eastAsiaTheme="minorHAnsi" w:hAnsi="Times New Roman" w:cs="Times New Roman"/>
          <w:iCs/>
        </w:rPr>
        <w:t xml:space="preserve"> Hood and Parker Counties, </w:t>
      </w:r>
      <w:r w:rsidR="00491B77">
        <w:rPr>
          <w:rFonts w:ascii="Times New Roman" w:eastAsiaTheme="minorHAnsi" w:hAnsi="Times New Roman" w:cs="Times New Roman"/>
          <w:iCs/>
        </w:rPr>
        <w:t>under water</w:t>
      </w:r>
      <w:r w:rsidR="000E7A68">
        <w:rPr>
          <w:rFonts w:ascii="Times New Roman" w:eastAsiaTheme="minorHAnsi" w:hAnsi="Times New Roman" w:cs="Times New Roman"/>
          <w:iCs/>
        </w:rPr>
        <w:t xml:space="preserve"> Certificate of Convenience and Necessity Number (CCN) 10263, </w:t>
      </w:r>
      <w:r w:rsidRPr="00F70B15">
        <w:rPr>
          <w:rFonts w:ascii="Times New Roman" w:eastAsiaTheme="minorHAnsi" w:hAnsi="Times New Roman" w:cs="Times New Roman"/>
          <w:iCs/>
        </w:rPr>
        <w:t>and Lone Star Water Company (Lone Star)</w:t>
      </w:r>
      <w:r w:rsidR="000E7A68">
        <w:rPr>
          <w:rFonts w:ascii="Times New Roman" w:eastAsiaTheme="minorHAnsi" w:hAnsi="Times New Roman" w:cs="Times New Roman"/>
          <w:iCs/>
        </w:rPr>
        <w:t>, which provides water utility service to customers in Denton County under water CCN No. 13279</w:t>
      </w:r>
      <w:r w:rsidRPr="00F70B15">
        <w:rPr>
          <w:rFonts w:ascii="Times New Roman" w:eastAsiaTheme="minorHAnsi" w:hAnsi="Times New Roman" w:cs="Times New Roman"/>
          <w:iCs/>
        </w:rPr>
        <w:t>.</w:t>
      </w:r>
      <w:r w:rsidR="0071512B">
        <w:rPr>
          <w:rStyle w:val="FootnoteReference"/>
          <w:rFonts w:ascii="Times New Roman" w:eastAsiaTheme="minorHAnsi" w:hAnsi="Times New Roman" w:cs="Times New Roman"/>
          <w:iCs/>
        </w:rPr>
        <w:footnoteReference w:id="1"/>
      </w:r>
      <w:r>
        <w:rPr>
          <w:rFonts w:ascii="Times New Roman" w:eastAsiaTheme="minorHAnsi" w:hAnsi="Times New Roman" w:cs="Times New Roman"/>
          <w:iCs/>
        </w:rPr>
        <w:t xml:space="preserve"> </w:t>
      </w:r>
      <w:r w:rsidR="009C670D">
        <w:rPr>
          <w:rFonts w:ascii="Times New Roman" w:eastAsiaTheme="minorHAnsi" w:hAnsi="Times New Roman" w:cs="Times New Roman"/>
          <w:iCs/>
        </w:rPr>
        <w:t xml:space="preserve"> </w:t>
      </w:r>
      <w:r w:rsidRPr="00F70B15">
        <w:rPr>
          <w:rFonts w:ascii="Times New Roman" w:eastAsiaTheme="minorHAnsi" w:hAnsi="Times New Roman" w:cs="Times New Roman"/>
          <w:iCs/>
        </w:rPr>
        <w:t>T</w:t>
      </w:r>
      <w:r w:rsidRPr="00F70B15">
        <w:rPr>
          <w:rFonts w:ascii="Times New Roman" w:hAnsi="Times New Roman" w:cs="Times New Roman"/>
        </w:rPr>
        <w:t>TH</w:t>
      </w:r>
      <w:r w:rsidR="000754D3">
        <w:rPr>
          <w:rFonts w:ascii="Times New Roman" w:hAnsi="Times New Roman" w:cs="Times New Roman"/>
        </w:rPr>
        <w:t xml:space="preserve"> </w:t>
      </w:r>
      <w:r>
        <w:rPr>
          <w:rFonts w:ascii="Times New Roman" w:hAnsi="Times New Roman" w:cs="Times New Roman"/>
        </w:rPr>
        <w:t xml:space="preserve">ultimately </w:t>
      </w:r>
      <w:r w:rsidRPr="00F70B15">
        <w:rPr>
          <w:rFonts w:ascii="Times New Roman" w:hAnsi="Times New Roman" w:cs="Times New Roman"/>
        </w:rPr>
        <w:t>seeks approval to acquire 100% of the issued and outstanding limited liability company interests of Horseshoe Bend and 100% of</w:t>
      </w:r>
      <w:r>
        <w:rPr>
          <w:rFonts w:ascii="Times New Roman" w:hAnsi="Times New Roman" w:cs="Times New Roman"/>
        </w:rPr>
        <w:t xml:space="preserve"> </w:t>
      </w:r>
      <w:r w:rsidRPr="00F70B15">
        <w:rPr>
          <w:rFonts w:ascii="Times New Roman" w:hAnsi="Times New Roman" w:cs="Times New Roman"/>
        </w:rPr>
        <w:t>the issued and outstanding shares of</w:t>
      </w:r>
      <w:r>
        <w:rPr>
          <w:rFonts w:ascii="Times New Roman" w:hAnsi="Times New Roman" w:cs="Times New Roman"/>
        </w:rPr>
        <w:t xml:space="preserve"> </w:t>
      </w:r>
      <w:r w:rsidRPr="00F70B15">
        <w:rPr>
          <w:rFonts w:ascii="Times New Roman" w:hAnsi="Times New Roman" w:cs="Times New Roman"/>
        </w:rPr>
        <w:t>Lone Star stock after an initial temporary transfer of the interests from Triton Utilities, Inc. to Kauffman Family Living Trust, Disciple Asset Holdings, and Malakoff Family Holdings.</w:t>
      </w:r>
      <w:r>
        <w:rPr>
          <w:rFonts w:ascii="Times New Roman" w:hAnsi="Times New Roman" w:cs="Times New Roman"/>
        </w:rPr>
        <w:t xml:space="preserve"> </w:t>
      </w:r>
      <w:r w:rsidR="009C670D">
        <w:rPr>
          <w:rFonts w:ascii="Times New Roman" w:hAnsi="Times New Roman" w:cs="Times New Roman"/>
        </w:rPr>
        <w:t xml:space="preserve"> </w:t>
      </w:r>
      <w:r w:rsidRPr="00A45177">
        <w:rPr>
          <w:rFonts w:ascii="Times New Roman" w:hAnsi="Times New Roman" w:cs="Times New Roman"/>
          <w:iCs/>
        </w:rPr>
        <w:t>I have</w:t>
      </w:r>
      <w:r w:rsidRPr="00841BCC">
        <w:rPr>
          <w:rFonts w:ascii="Times New Roman" w:hAnsi="Times New Roman" w:cs="Times New Roman"/>
        </w:rPr>
        <w:t xml:space="preserve"> conducted an administrative review of the application</w:t>
      </w:r>
      <w:r>
        <w:rPr>
          <w:rFonts w:ascii="Times New Roman" w:hAnsi="Times New Roman" w:cs="Times New Roman"/>
        </w:rPr>
        <w:t xml:space="preserve"> </w:t>
      </w:r>
      <w:r w:rsidRPr="00841BCC">
        <w:rPr>
          <w:rFonts w:ascii="Times New Roman" w:hAnsi="Times New Roman" w:cs="Times New Roman"/>
        </w:rPr>
        <w:t>according to Texas Water Code (TWC) § 13.</w:t>
      </w:r>
      <w:r>
        <w:rPr>
          <w:rFonts w:ascii="Times New Roman" w:hAnsi="Times New Roman" w:cs="Times New Roman"/>
        </w:rPr>
        <w:t>302(a) through (c)</w:t>
      </w:r>
      <w:r w:rsidR="00621979">
        <w:rPr>
          <w:rFonts w:ascii="Times New Roman" w:hAnsi="Times New Roman" w:cs="Times New Roman"/>
        </w:rPr>
        <w:t>, 1</w:t>
      </w:r>
      <w:r w:rsidRPr="00841BCC">
        <w:rPr>
          <w:rFonts w:ascii="Times New Roman" w:hAnsi="Times New Roman" w:cs="Times New Roman"/>
        </w:rPr>
        <w:t>6 Texas Administrative Code (TAC)</w:t>
      </w:r>
      <w:r>
        <w:rPr>
          <w:rFonts w:ascii="Times New Roman" w:hAnsi="Times New Roman" w:cs="Times New Roman"/>
        </w:rPr>
        <w:t xml:space="preserve"> </w:t>
      </w:r>
      <w:r w:rsidRPr="00841BCC">
        <w:rPr>
          <w:rFonts w:ascii="Times New Roman" w:hAnsi="Times New Roman" w:cs="Times New Roman"/>
        </w:rPr>
        <w:t>§</w:t>
      </w:r>
      <w:r w:rsidR="009C670D">
        <w:rPr>
          <w:rFonts w:ascii="Times New Roman" w:hAnsi="Times New Roman" w:cs="Times New Roman"/>
        </w:rPr>
        <w:t>§</w:t>
      </w:r>
      <w:r w:rsidRPr="00841BCC">
        <w:rPr>
          <w:rFonts w:ascii="Times New Roman" w:hAnsi="Times New Roman" w:cs="Times New Roman"/>
        </w:rPr>
        <w:t xml:space="preserve"> 24.</w:t>
      </w:r>
      <w:r>
        <w:rPr>
          <w:rFonts w:ascii="Times New Roman" w:hAnsi="Times New Roman" w:cs="Times New Roman"/>
        </w:rPr>
        <w:t>243(a) through (c)</w:t>
      </w:r>
      <w:r w:rsidR="00621979">
        <w:rPr>
          <w:rFonts w:ascii="Times New Roman" w:hAnsi="Times New Roman" w:cs="Times New Roman"/>
        </w:rPr>
        <w:t xml:space="preserve"> and 24.11(e)</w:t>
      </w:r>
      <w:r w:rsidRPr="00841BCC">
        <w:rPr>
          <w:rFonts w:ascii="Times New Roman" w:hAnsi="Times New Roman" w:cs="Times New Roman"/>
        </w:rPr>
        <w:t>.</w:t>
      </w:r>
      <w:r w:rsidRPr="00841BCC">
        <w:rPr>
          <w:rFonts w:ascii="Times New Roman" w:hAnsi="Times New Roman" w:cs="Times New Roman"/>
          <w:color w:val="auto"/>
        </w:rPr>
        <w:t xml:space="preserve">   </w:t>
      </w:r>
    </w:p>
    <w:p w14:paraId="2F25F68D" w14:textId="0F9D35B9" w:rsidR="00FF3401" w:rsidRDefault="00FF3401" w:rsidP="00D22E0E">
      <w:pPr>
        <w:autoSpaceDE w:val="0"/>
        <w:autoSpaceDN w:val="0"/>
        <w:adjustRightInd w:val="0"/>
        <w:jc w:val="both"/>
        <w:rPr>
          <w:rFonts w:eastAsiaTheme="minorHAnsi"/>
          <w:color w:val="000000"/>
          <w:sz w:val="24"/>
          <w:szCs w:val="24"/>
        </w:rPr>
      </w:pPr>
    </w:p>
    <w:p w14:paraId="1D22B0D5" w14:textId="78467A1E" w:rsidR="00491B77" w:rsidRPr="006832DD" w:rsidRDefault="00491B77" w:rsidP="00D22E0E">
      <w:pPr>
        <w:autoSpaceDE w:val="0"/>
        <w:autoSpaceDN w:val="0"/>
        <w:adjustRightInd w:val="0"/>
        <w:jc w:val="both"/>
        <w:rPr>
          <w:rFonts w:eastAsiaTheme="minorHAnsi"/>
          <w:color w:val="000000"/>
          <w:sz w:val="24"/>
          <w:szCs w:val="24"/>
        </w:rPr>
      </w:pPr>
      <w:r w:rsidRPr="006832DD">
        <w:rPr>
          <w:sz w:val="24"/>
          <w:szCs w:val="24"/>
        </w:rPr>
        <w:t xml:space="preserve">The application originally sought approval for a "two-step" transaction, under which Triton Utilities, Inc. (TUI) would transfer ownership interests in Horseshoe Bend and Lone Star to the Interest Holders in one transaction, who would then transfer ownership interests to TTH in a second transaction immediately after the first. </w:t>
      </w:r>
      <w:r w:rsidR="009C670D">
        <w:rPr>
          <w:sz w:val="24"/>
          <w:szCs w:val="24"/>
        </w:rPr>
        <w:t xml:space="preserve"> </w:t>
      </w:r>
      <w:r w:rsidRPr="006832DD">
        <w:rPr>
          <w:sz w:val="24"/>
          <w:szCs w:val="24"/>
        </w:rPr>
        <w:t>On October 20, 2021, TTH filed an amended application specifying that the Interest Holders will no longer be parties to the proposed application.</w:t>
      </w:r>
      <w:r w:rsidR="0006525C">
        <w:rPr>
          <w:rStyle w:val="FootnoteReference"/>
          <w:sz w:val="24"/>
          <w:szCs w:val="24"/>
        </w:rPr>
        <w:footnoteReference w:id="2"/>
      </w:r>
      <w:r w:rsidRPr="006832DD">
        <w:rPr>
          <w:sz w:val="24"/>
          <w:szCs w:val="24"/>
        </w:rPr>
        <w:t xml:space="preserve"> </w:t>
      </w:r>
      <w:r w:rsidR="009C670D">
        <w:rPr>
          <w:sz w:val="24"/>
          <w:szCs w:val="24"/>
        </w:rPr>
        <w:t xml:space="preserve"> </w:t>
      </w:r>
      <w:r w:rsidRPr="006832DD">
        <w:rPr>
          <w:sz w:val="24"/>
          <w:szCs w:val="24"/>
        </w:rPr>
        <w:t>Instead, under the amended application, TUI would transfer ownership interests in Horseshoe Bend and Lone Star in a "one-step" transaction directly to TTH.</w:t>
      </w:r>
    </w:p>
    <w:p w14:paraId="620E3EDF" w14:textId="5FE16999" w:rsidR="00491B77" w:rsidRDefault="00491B77" w:rsidP="00D22E0E">
      <w:pPr>
        <w:autoSpaceDE w:val="0"/>
        <w:autoSpaceDN w:val="0"/>
        <w:adjustRightInd w:val="0"/>
        <w:jc w:val="both"/>
        <w:rPr>
          <w:rFonts w:eastAsiaTheme="minorHAnsi"/>
          <w:color w:val="000000"/>
          <w:sz w:val="24"/>
          <w:szCs w:val="24"/>
        </w:rPr>
      </w:pPr>
    </w:p>
    <w:p w14:paraId="54E3C654" w14:textId="4CE29010" w:rsidR="00555E69" w:rsidRPr="00555E69" w:rsidRDefault="00FC14D0" w:rsidP="00555E69">
      <w:pPr>
        <w:jc w:val="both"/>
        <w:rPr>
          <w:rFonts w:eastAsia="Calibri"/>
          <w:sz w:val="24"/>
          <w:szCs w:val="24"/>
        </w:rPr>
      </w:pPr>
      <w:r>
        <w:rPr>
          <w:rFonts w:eastAsia="Calibri"/>
          <w:sz w:val="24"/>
          <w:szCs w:val="24"/>
        </w:rPr>
        <w:t xml:space="preserve">Based on my review, </w:t>
      </w:r>
      <w:r w:rsidR="00555E69" w:rsidRPr="00555E69">
        <w:rPr>
          <w:rFonts w:eastAsia="Calibri"/>
          <w:sz w:val="24"/>
          <w:szCs w:val="24"/>
        </w:rPr>
        <w:t>I recommend that the Applicant</w:t>
      </w:r>
      <w:r w:rsidR="00641E0A">
        <w:rPr>
          <w:rFonts w:eastAsia="Calibri"/>
          <w:sz w:val="24"/>
          <w:szCs w:val="24"/>
        </w:rPr>
        <w:t>s</w:t>
      </w:r>
      <w:r w:rsidR="00555E69" w:rsidRPr="00555E69">
        <w:rPr>
          <w:rFonts w:eastAsia="Calibri"/>
          <w:sz w:val="24"/>
          <w:szCs w:val="24"/>
        </w:rPr>
        <w:t xml:space="preserve"> demonstrate the financial and managerial capability needed to provide continuous and adequate service to the area subject to this application.  My conclusions are based on information provided by the </w:t>
      </w:r>
      <w:r w:rsidR="00555E69" w:rsidRPr="00555E69">
        <w:rPr>
          <w:rFonts w:eastAsia="Calibri"/>
          <w:bCs/>
          <w:sz w:val="24"/>
          <w:szCs w:val="24"/>
        </w:rPr>
        <w:t>Applicant</w:t>
      </w:r>
      <w:r w:rsidR="00641E0A">
        <w:rPr>
          <w:rFonts w:eastAsia="Calibri"/>
          <w:bCs/>
          <w:sz w:val="24"/>
          <w:szCs w:val="24"/>
        </w:rPr>
        <w:t>s</w:t>
      </w:r>
      <w:r w:rsidR="00555E69" w:rsidRPr="00555E69">
        <w:rPr>
          <w:rFonts w:eastAsia="Calibri"/>
          <w:sz w:val="24"/>
          <w:szCs w:val="24"/>
        </w:rPr>
        <w:t xml:space="preserve"> before the date of this memorandum and may not reflect any changes in the </w:t>
      </w:r>
      <w:r w:rsidR="00101C14" w:rsidRPr="00555E69">
        <w:rPr>
          <w:rFonts w:eastAsia="Calibri"/>
          <w:sz w:val="24"/>
          <w:szCs w:val="24"/>
        </w:rPr>
        <w:t>Applicant</w:t>
      </w:r>
      <w:r w:rsidR="00101C14">
        <w:rPr>
          <w:rFonts w:eastAsia="Calibri"/>
          <w:sz w:val="24"/>
          <w:szCs w:val="24"/>
        </w:rPr>
        <w:t>s</w:t>
      </w:r>
      <w:r w:rsidR="00101C14" w:rsidRPr="00555E69">
        <w:rPr>
          <w:rFonts w:eastAsia="Calibri"/>
          <w:sz w:val="24"/>
          <w:szCs w:val="24"/>
        </w:rPr>
        <w:t>’</w:t>
      </w:r>
      <w:r w:rsidR="00555E69" w:rsidRPr="00555E69">
        <w:rPr>
          <w:rFonts w:eastAsia="Calibri"/>
          <w:sz w:val="24"/>
          <w:szCs w:val="24"/>
        </w:rPr>
        <w:t xml:space="preserve"> status after this review. </w:t>
      </w:r>
    </w:p>
    <w:p w14:paraId="413C7788" w14:textId="77777777" w:rsidR="00555E69" w:rsidRPr="00555E69" w:rsidRDefault="00555E69" w:rsidP="00555E69">
      <w:pPr>
        <w:jc w:val="both"/>
        <w:rPr>
          <w:rFonts w:eastAsia="Calibri"/>
          <w:sz w:val="24"/>
          <w:szCs w:val="24"/>
        </w:rPr>
      </w:pPr>
    </w:p>
    <w:p w14:paraId="7B7DA7F9" w14:textId="67FFBBE2" w:rsidR="00E00F77" w:rsidRDefault="00E00F77" w:rsidP="00F92EB2">
      <w:pPr>
        <w:jc w:val="both"/>
        <w:rPr>
          <w:sz w:val="24"/>
          <w:szCs w:val="24"/>
        </w:rPr>
      </w:pPr>
      <w:r>
        <w:rPr>
          <w:sz w:val="24"/>
          <w:szCs w:val="24"/>
        </w:rPr>
        <w:t>I appl</w:t>
      </w:r>
      <w:r w:rsidR="004F46F2">
        <w:rPr>
          <w:sz w:val="24"/>
          <w:szCs w:val="24"/>
        </w:rPr>
        <w:t>ied</w:t>
      </w:r>
      <w:r>
        <w:rPr>
          <w:sz w:val="24"/>
          <w:szCs w:val="24"/>
        </w:rPr>
        <w:t xml:space="preserve"> the </w:t>
      </w:r>
      <w:r w:rsidR="00BC1A7A">
        <w:rPr>
          <w:sz w:val="24"/>
          <w:szCs w:val="24"/>
        </w:rPr>
        <w:t xml:space="preserve">standard set forth </w:t>
      </w:r>
      <w:r w:rsidR="001A1ABC">
        <w:rPr>
          <w:sz w:val="24"/>
          <w:szCs w:val="24"/>
        </w:rPr>
        <w:t xml:space="preserve">in </w:t>
      </w:r>
      <w:r w:rsidR="00814353">
        <w:rPr>
          <w:sz w:val="24"/>
          <w:szCs w:val="24"/>
        </w:rPr>
        <w:t>16 TAC § 24.</w:t>
      </w:r>
      <w:r>
        <w:rPr>
          <w:sz w:val="24"/>
          <w:szCs w:val="24"/>
        </w:rPr>
        <w:t>243(b)</w:t>
      </w:r>
      <w:r w:rsidR="001A1ABC">
        <w:rPr>
          <w:sz w:val="24"/>
          <w:szCs w:val="24"/>
        </w:rPr>
        <w:t xml:space="preserve"> </w:t>
      </w:r>
      <w:r>
        <w:rPr>
          <w:sz w:val="24"/>
          <w:szCs w:val="24"/>
        </w:rPr>
        <w:t>which states</w:t>
      </w:r>
      <w:r w:rsidR="00414C89">
        <w:rPr>
          <w:sz w:val="24"/>
          <w:szCs w:val="24"/>
        </w:rPr>
        <w:t xml:space="preserve"> that a</w:t>
      </w:r>
      <w:r w:rsidR="00814353" w:rsidRPr="00814353">
        <w:rPr>
          <w:sz w:val="24"/>
          <w:szCs w:val="24"/>
        </w:rPr>
        <w:t xml:space="preserve"> person acquiring a controlling interest in a utility is required to demonstrate adequate financial, managerial, and technical capability for providing continuous and adequate service to the requested area and to the person’s certificated service area, if any</w:t>
      </w:r>
      <w:r w:rsidR="00C81D90">
        <w:rPr>
          <w:sz w:val="24"/>
          <w:szCs w:val="24"/>
        </w:rPr>
        <w:t>.</w:t>
      </w:r>
      <w:r w:rsidR="00641E0A">
        <w:rPr>
          <w:sz w:val="24"/>
          <w:szCs w:val="24"/>
        </w:rPr>
        <w:t xml:space="preserve">  </w:t>
      </w:r>
      <w:r>
        <w:rPr>
          <w:sz w:val="24"/>
          <w:szCs w:val="24"/>
        </w:rPr>
        <w:t xml:space="preserve">I </w:t>
      </w:r>
      <w:r w:rsidR="004F46F2">
        <w:rPr>
          <w:sz w:val="24"/>
          <w:szCs w:val="24"/>
        </w:rPr>
        <w:t>al</w:t>
      </w:r>
      <w:r>
        <w:rPr>
          <w:sz w:val="24"/>
          <w:szCs w:val="24"/>
        </w:rPr>
        <w:t>so appl</w:t>
      </w:r>
      <w:r w:rsidR="004F46F2">
        <w:rPr>
          <w:sz w:val="24"/>
          <w:szCs w:val="24"/>
        </w:rPr>
        <w:t>ied</w:t>
      </w:r>
      <w:r>
        <w:rPr>
          <w:sz w:val="24"/>
          <w:szCs w:val="24"/>
        </w:rPr>
        <w:t xml:space="preserve"> the standards set forth in </w:t>
      </w:r>
      <w:r w:rsidR="005B119B">
        <w:rPr>
          <w:sz w:val="24"/>
          <w:szCs w:val="24"/>
        </w:rPr>
        <w:t xml:space="preserve">16 </w:t>
      </w:r>
      <w:r>
        <w:rPr>
          <w:sz w:val="24"/>
          <w:szCs w:val="24"/>
        </w:rPr>
        <w:t xml:space="preserve">TAC </w:t>
      </w:r>
      <w:r w:rsidR="005B119B">
        <w:rPr>
          <w:sz w:val="24"/>
          <w:szCs w:val="24"/>
        </w:rPr>
        <w:t>§</w:t>
      </w:r>
      <w:r>
        <w:rPr>
          <w:sz w:val="24"/>
          <w:szCs w:val="24"/>
        </w:rPr>
        <w:t>§</w:t>
      </w:r>
      <w:r w:rsidR="005B119B">
        <w:rPr>
          <w:sz w:val="24"/>
          <w:szCs w:val="24"/>
        </w:rPr>
        <w:t xml:space="preserve"> </w:t>
      </w:r>
      <w:r>
        <w:rPr>
          <w:sz w:val="24"/>
          <w:szCs w:val="24"/>
        </w:rPr>
        <w:t xml:space="preserve">24.11(e)(1), </w:t>
      </w:r>
      <w:r w:rsidR="0049204D">
        <w:rPr>
          <w:sz w:val="24"/>
          <w:szCs w:val="24"/>
        </w:rPr>
        <w:t>(e)</w:t>
      </w:r>
      <w:r>
        <w:rPr>
          <w:sz w:val="24"/>
          <w:szCs w:val="24"/>
        </w:rPr>
        <w:t>(2)(</w:t>
      </w:r>
      <w:r w:rsidR="004D2EC7">
        <w:rPr>
          <w:sz w:val="24"/>
          <w:szCs w:val="24"/>
        </w:rPr>
        <w:t>B</w:t>
      </w:r>
      <w:r>
        <w:rPr>
          <w:sz w:val="24"/>
          <w:szCs w:val="24"/>
        </w:rPr>
        <w:t>)</w:t>
      </w:r>
      <w:r w:rsidR="004D2EC7">
        <w:rPr>
          <w:sz w:val="24"/>
          <w:szCs w:val="24"/>
        </w:rPr>
        <w:t>,</w:t>
      </w:r>
      <w:r>
        <w:rPr>
          <w:sz w:val="24"/>
          <w:szCs w:val="24"/>
        </w:rPr>
        <w:t xml:space="preserve"> and </w:t>
      </w:r>
      <w:r w:rsidR="0049204D">
        <w:rPr>
          <w:sz w:val="24"/>
          <w:szCs w:val="24"/>
        </w:rPr>
        <w:t>(e)</w:t>
      </w:r>
      <w:r>
        <w:rPr>
          <w:sz w:val="24"/>
          <w:szCs w:val="24"/>
        </w:rPr>
        <w:t>(3)</w:t>
      </w:r>
      <w:r w:rsidR="00641E0A">
        <w:rPr>
          <w:sz w:val="24"/>
          <w:szCs w:val="24"/>
        </w:rPr>
        <w:t>.</w:t>
      </w:r>
    </w:p>
    <w:p w14:paraId="06AD61D3" w14:textId="77777777" w:rsidR="00641E0A" w:rsidRDefault="00641E0A" w:rsidP="00F92EB2">
      <w:pPr>
        <w:jc w:val="both"/>
        <w:rPr>
          <w:sz w:val="24"/>
          <w:szCs w:val="24"/>
        </w:rPr>
      </w:pPr>
    </w:p>
    <w:p w14:paraId="5CEBBD16" w14:textId="01ABC23F" w:rsidR="00F807CB" w:rsidRPr="00465FB9" w:rsidRDefault="00F807CB" w:rsidP="00465FB9">
      <w:pPr>
        <w:jc w:val="both"/>
        <w:rPr>
          <w:i/>
          <w:iCs/>
          <w:sz w:val="24"/>
          <w:szCs w:val="24"/>
        </w:rPr>
      </w:pPr>
      <w:r>
        <w:rPr>
          <w:i/>
          <w:iCs/>
          <w:sz w:val="24"/>
          <w:szCs w:val="24"/>
        </w:rPr>
        <w:t>Financial Assurance</w:t>
      </w:r>
    </w:p>
    <w:p w14:paraId="0EDD9B37" w14:textId="7DB07F74" w:rsidR="00F92EB2" w:rsidRDefault="00F92EB2" w:rsidP="00F92EB2">
      <w:pPr>
        <w:jc w:val="both"/>
        <w:rPr>
          <w:sz w:val="24"/>
          <w:szCs w:val="24"/>
        </w:rPr>
      </w:pPr>
      <w:r w:rsidRPr="00F92EB2">
        <w:rPr>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TAC </w:t>
      </w:r>
      <w:bookmarkStart w:id="0" w:name="_Hlk58258845"/>
      <w:r w:rsidRPr="00F92EB2">
        <w:rPr>
          <w:sz w:val="24"/>
          <w:szCs w:val="24"/>
        </w:rPr>
        <w:t>§ 24.11</w:t>
      </w:r>
      <w:bookmarkEnd w:id="0"/>
      <w:r w:rsidRPr="00F92EB2">
        <w:rPr>
          <w:sz w:val="24"/>
          <w:szCs w:val="24"/>
        </w:rPr>
        <w:t>.  The Applicant</w:t>
      </w:r>
      <w:r w:rsidR="00641E0A">
        <w:rPr>
          <w:sz w:val="24"/>
          <w:szCs w:val="24"/>
        </w:rPr>
        <w:t>s</w:t>
      </w:r>
      <w:r w:rsidRPr="00F92EB2">
        <w:rPr>
          <w:sz w:val="24"/>
          <w:szCs w:val="24"/>
        </w:rPr>
        <w:t xml:space="preserve"> must demonstrate that </w:t>
      </w:r>
      <w:r w:rsidR="00641E0A">
        <w:rPr>
          <w:sz w:val="24"/>
          <w:szCs w:val="24"/>
        </w:rPr>
        <w:t>they</w:t>
      </w:r>
      <w:r w:rsidRPr="00F92EB2">
        <w:rPr>
          <w:sz w:val="24"/>
          <w:szCs w:val="24"/>
        </w:rPr>
        <w:t xml:space="preserve"> meet one of the five leverage tests under 16 TAC § 24.11(e)(2) as well as the operations test under 16 TAC § 24.11(e)(3).  </w:t>
      </w:r>
    </w:p>
    <w:p w14:paraId="75D5B2DB" w14:textId="77777777" w:rsidR="00F92EB2" w:rsidRPr="00F92EB2" w:rsidRDefault="00F92EB2" w:rsidP="00465FB9">
      <w:pPr>
        <w:jc w:val="both"/>
        <w:rPr>
          <w:sz w:val="24"/>
          <w:szCs w:val="24"/>
        </w:rPr>
      </w:pPr>
    </w:p>
    <w:p w14:paraId="7F354080" w14:textId="12B3A0FE" w:rsidR="00DB6349" w:rsidRDefault="00F92EB2" w:rsidP="00380145">
      <w:pPr>
        <w:jc w:val="both"/>
        <w:rPr>
          <w:sz w:val="24"/>
          <w:szCs w:val="24"/>
        </w:rPr>
      </w:pPr>
      <w:r w:rsidRPr="00F92EB2">
        <w:rPr>
          <w:rFonts w:eastAsia="Calibri"/>
          <w:i/>
          <w:iCs/>
          <w:sz w:val="24"/>
          <w:szCs w:val="24"/>
        </w:rPr>
        <w:t xml:space="preserve">Leverage test </w:t>
      </w:r>
    </w:p>
    <w:p w14:paraId="5653C3AD" w14:textId="1A72DDEA" w:rsidR="00127675" w:rsidRPr="007B54AE" w:rsidRDefault="00127675" w:rsidP="007B54AE">
      <w:pPr>
        <w:rPr>
          <w:rFonts w:eastAsia="Calibri"/>
          <w:sz w:val="24"/>
          <w:szCs w:val="24"/>
        </w:rPr>
      </w:pPr>
      <w:r w:rsidRPr="007B54AE">
        <w:rPr>
          <w:rFonts w:eastAsia="Calibri"/>
          <w:sz w:val="24"/>
          <w:szCs w:val="24"/>
        </w:rPr>
        <w:t xml:space="preserve">Based upon my review of the </w:t>
      </w:r>
      <w:r w:rsidR="008E34D1" w:rsidRPr="007B54AE">
        <w:rPr>
          <w:rFonts w:eastAsia="Calibri"/>
          <w:sz w:val="24"/>
          <w:szCs w:val="24"/>
        </w:rPr>
        <w:t>Applicants’</w:t>
      </w:r>
      <w:r w:rsidRPr="007B54AE">
        <w:rPr>
          <w:rFonts w:eastAsia="Calibri"/>
          <w:sz w:val="24"/>
          <w:szCs w:val="24"/>
        </w:rPr>
        <w:t xml:space="preserve"> financial statements and as shown below, I calculate debt service equal to</w:t>
      </w:r>
      <w:r w:rsidR="007B54AE">
        <w:rPr>
          <w:rFonts w:eastAsia="Calibri"/>
          <w:sz w:val="24"/>
          <w:szCs w:val="24"/>
        </w:rPr>
        <w:t xml:space="preserve"> 5.68 for Horseshoe Bend and 1.97 for Lone Star. </w:t>
      </w:r>
      <w:r w:rsidRPr="007B54AE">
        <w:rPr>
          <w:rFonts w:eastAsia="Calibri"/>
          <w:sz w:val="24"/>
          <w:szCs w:val="24"/>
        </w:rPr>
        <w:t>The debt service coverage ratio is net operating income (before depreciation and non-cash expenses) divided by annual debt service.</w:t>
      </w:r>
      <w:r w:rsidRPr="007B54AE">
        <w:rPr>
          <w:rFonts w:eastAsia="Calibri"/>
          <w:b/>
          <w:bCs/>
          <w:sz w:val="24"/>
          <w:szCs w:val="24"/>
        </w:rPr>
        <w:t xml:space="preserve">  </w:t>
      </w:r>
      <w:r w:rsidRPr="007B54AE">
        <w:rPr>
          <w:rFonts w:eastAsia="Calibri"/>
          <w:sz w:val="24"/>
          <w:szCs w:val="24"/>
        </w:rPr>
        <w:t xml:space="preserve">Because the ratio is greater than 1.25, the </w:t>
      </w:r>
      <w:r w:rsidRPr="007B54AE">
        <w:rPr>
          <w:rFonts w:eastAsia="Calibri"/>
          <w:bCs/>
          <w:sz w:val="24"/>
          <w:szCs w:val="24"/>
        </w:rPr>
        <w:t>Applicant</w:t>
      </w:r>
      <w:r w:rsidR="00641E0A" w:rsidRPr="007B54AE">
        <w:rPr>
          <w:rFonts w:eastAsia="Calibri"/>
          <w:bCs/>
          <w:sz w:val="24"/>
          <w:szCs w:val="24"/>
        </w:rPr>
        <w:t>s</w:t>
      </w:r>
      <w:r w:rsidRPr="007B54AE">
        <w:rPr>
          <w:rFonts w:eastAsia="Calibri"/>
          <w:sz w:val="24"/>
          <w:szCs w:val="24"/>
        </w:rPr>
        <w:t xml:space="preserve"> meet the leverage test specified in 16 TAC </w:t>
      </w:r>
      <w:bookmarkStart w:id="1" w:name="_Hlk59192949"/>
      <w:r w:rsidRPr="007B54AE">
        <w:rPr>
          <w:rFonts w:eastAsia="Calibri"/>
          <w:sz w:val="24"/>
          <w:szCs w:val="24"/>
        </w:rPr>
        <w:t>§ 24.11(e)(2)(B).</w:t>
      </w:r>
      <w:bookmarkEnd w:id="1"/>
    </w:p>
    <w:p w14:paraId="6C7E7B25" w14:textId="460D7959" w:rsidR="00BC79E0" w:rsidRPr="007B54AE" w:rsidRDefault="000D540F" w:rsidP="00380145">
      <w:pPr>
        <w:jc w:val="both"/>
        <w:rPr>
          <w:sz w:val="24"/>
          <w:szCs w:val="24"/>
        </w:rPr>
      </w:pPr>
      <w:r w:rsidRPr="007B54AE">
        <w:rPr>
          <w:sz w:val="24"/>
          <w:szCs w:val="24"/>
        </w:rPr>
        <w:tab/>
      </w:r>
      <w:r w:rsidRPr="007B54AE">
        <w:rPr>
          <w:sz w:val="24"/>
          <w:szCs w:val="24"/>
        </w:rPr>
        <w:tab/>
      </w:r>
      <w:r w:rsidRPr="007B54AE">
        <w:rPr>
          <w:sz w:val="24"/>
          <w:szCs w:val="24"/>
        </w:rPr>
        <w:tab/>
      </w:r>
      <w:r w:rsidR="005561E8" w:rsidRPr="007B54AE">
        <w:rPr>
          <w:sz w:val="24"/>
          <w:szCs w:val="24"/>
        </w:rPr>
        <w:t xml:space="preserve">  </w:t>
      </w:r>
      <w:r w:rsidRPr="007B54AE">
        <w:rPr>
          <w:sz w:val="24"/>
          <w:szCs w:val="24"/>
        </w:rPr>
        <w:t xml:space="preserve">  </w:t>
      </w:r>
    </w:p>
    <w:tbl>
      <w:tblPr>
        <w:tblStyle w:val="TableGrid"/>
        <w:tblW w:w="9085" w:type="dxa"/>
        <w:tblLook w:val="04A0" w:firstRow="1" w:lastRow="0" w:firstColumn="1" w:lastColumn="0" w:noHBand="0" w:noVBand="1"/>
      </w:tblPr>
      <w:tblGrid>
        <w:gridCol w:w="2335"/>
        <w:gridCol w:w="3375"/>
        <w:gridCol w:w="3375"/>
      </w:tblGrid>
      <w:tr w:rsidR="00BC79E0" w14:paraId="4E75E012" w14:textId="77777777" w:rsidTr="00BC79E0">
        <w:tc>
          <w:tcPr>
            <w:tcW w:w="2335" w:type="dxa"/>
          </w:tcPr>
          <w:p w14:paraId="7A18EAAC" w14:textId="5DDCBEC1" w:rsidR="00BC79E0" w:rsidRDefault="00BC79E0" w:rsidP="00380145">
            <w:pPr>
              <w:jc w:val="both"/>
              <w:rPr>
                <w:sz w:val="24"/>
                <w:szCs w:val="24"/>
              </w:rPr>
            </w:pPr>
          </w:p>
        </w:tc>
        <w:tc>
          <w:tcPr>
            <w:tcW w:w="3375" w:type="dxa"/>
          </w:tcPr>
          <w:p w14:paraId="728A7177" w14:textId="77777777" w:rsidR="00BC79E0" w:rsidRDefault="002E33FC" w:rsidP="00BC79E0">
            <w:pPr>
              <w:jc w:val="center"/>
              <w:rPr>
                <w:b/>
                <w:bCs/>
                <w:sz w:val="24"/>
                <w:szCs w:val="24"/>
              </w:rPr>
            </w:pPr>
            <w:r>
              <w:rPr>
                <w:b/>
                <w:bCs/>
                <w:sz w:val="24"/>
                <w:szCs w:val="24"/>
              </w:rPr>
              <w:t>Horseshoe Bend</w:t>
            </w:r>
          </w:p>
          <w:p w14:paraId="12B94B73" w14:textId="77777777" w:rsidR="002E33FC" w:rsidRDefault="002E33FC" w:rsidP="00BC79E0">
            <w:pPr>
              <w:jc w:val="center"/>
              <w:rPr>
                <w:sz w:val="24"/>
                <w:szCs w:val="24"/>
              </w:rPr>
            </w:pPr>
            <w:r>
              <w:rPr>
                <w:sz w:val="24"/>
                <w:szCs w:val="24"/>
              </w:rPr>
              <w:t>Income Statement</w:t>
            </w:r>
          </w:p>
          <w:p w14:paraId="50F30AFC" w14:textId="77777777" w:rsidR="002E33FC" w:rsidRDefault="002E33FC" w:rsidP="00BC79E0">
            <w:pPr>
              <w:jc w:val="center"/>
              <w:rPr>
                <w:sz w:val="24"/>
                <w:szCs w:val="24"/>
              </w:rPr>
            </w:pPr>
            <w:r>
              <w:rPr>
                <w:sz w:val="24"/>
                <w:szCs w:val="24"/>
              </w:rPr>
              <w:t>For the 12 months ending</w:t>
            </w:r>
          </w:p>
          <w:p w14:paraId="28EFC4B8" w14:textId="2B1AEAFE" w:rsidR="002E33FC" w:rsidRPr="002E33FC" w:rsidRDefault="002E33FC" w:rsidP="00BC79E0">
            <w:pPr>
              <w:jc w:val="center"/>
              <w:rPr>
                <w:sz w:val="24"/>
                <w:szCs w:val="24"/>
              </w:rPr>
            </w:pPr>
            <w:r>
              <w:rPr>
                <w:sz w:val="24"/>
                <w:szCs w:val="24"/>
              </w:rPr>
              <w:t>September 30, 2021</w:t>
            </w:r>
            <w:r w:rsidR="00127675">
              <w:rPr>
                <w:rStyle w:val="FootnoteReference"/>
                <w:sz w:val="24"/>
                <w:szCs w:val="24"/>
              </w:rPr>
              <w:footnoteReference w:id="3"/>
            </w:r>
          </w:p>
        </w:tc>
        <w:tc>
          <w:tcPr>
            <w:tcW w:w="3375" w:type="dxa"/>
          </w:tcPr>
          <w:p w14:paraId="2CF90788" w14:textId="77777777" w:rsidR="00BC79E0" w:rsidRDefault="002E33FC" w:rsidP="00BC79E0">
            <w:pPr>
              <w:jc w:val="center"/>
              <w:rPr>
                <w:sz w:val="24"/>
                <w:szCs w:val="24"/>
              </w:rPr>
            </w:pPr>
            <w:r>
              <w:rPr>
                <w:b/>
                <w:bCs/>
                <w:sz w:val="24"/>
                <w:szCs w:val="24"/>
              </w:rPr>
              <w:t>Lone Star</w:t>
            </w:r>
          </w:p>
          <w:p w14:paraId="775F2180" w14:textId="77777777" w:rsidR="002E33FC" w:rsidRDefault="002E33FC" w:rsidP="00BC79E0">
            <w:pPr>
              <w:jc w:val="center"/>
              <w:rPr>
                <w:sz w:val="24"/>
                <w:szCs w:val="24"/>
              </w:rPr>
            </w:pPr>
            <w:r>
              <w:rPr>
                <w:sz w:val="24"/>
                <w:szCs w:val="24"/>
              </w:rPr>
              <w:t>Income Statement</w:t>
            </w:r>
          </w:p>
          <w:p w14:paraId="0AA9C925" w14:textId="77777777" w:rsidR="002E33FC" w:rsidRDefault="002E33FC" w:rsidP="00BC79E0">
            <w:pPr>
              <w:jc w:val="center"/>
              <w:rPr>
                <w:sz w:val="24"/>
                <w:szCs w:val="24"/>
              </w:rPr>
            </w:pPr>
            <w:r>
              <w:rPr>
                <w:sz w:val="24"/>
                <w:szCs w:val="24"/>
              </w:rPr>
              <w:t>For the 12 months ending</w:t>
            </w:r>
          </w:p>
          <w:p w14:paraId="115A809E" w14:textId="5D0426D3" w:rsidR="002E33FC" w:rsidRPr="002E33FC" w:rsidRDefault="002E33FC" w:rsidP="00BC79E0">
            <w:pPr>
              <w:jc w:val="center"/>
              <w:rPr>
                <w:sz w:val="24"/>
                <w:szCs w:val="24"/>
              </w:rPr>
            </w:pPr>
            <w:r>
              <w:rPr>
                <w:sz w:val="24"/>
                <w:szCs w:val="24"/>
              </w:rPr>
              <w:t>December 31, 2020</w:t>
            </w:r>
            <w:r w:rsidR="00127675">
              <w:rPr>
                <w:rStyle w:val="FootnoteReference"/>
                <w:sz w:val="24"/>
                <w:szCs w:val="24"/>
              </w:rPr>
              <w:footnoteReference w:id="4"/>
            </w:r>
          </w:p>
        </w:tc>
      </w:tr>
      <w:tr w:rsidR="002E33FC" w14:paraId="70D580AC" w14:textId="77777777" w:rsidTr="00BC79E0">
        <w:tc>
          <w:tcPr>
            <w:tcW w:w="2335" w:type="dxa"/>
          </w:tcPr>
          <w:p w14:paraId="42CE30C1" w14:textId="5F50E905" w:rsidR="002E33FC" w:rsidRDefault="002E33FC" w:rsidP="00380145">
            <w:pPr>
              <w:jc w:val="both"/>
              <w:rPr>
                <w:sz w:val="24"/>
                <w:szCs w:val="24"/>
              </w:rPr>
            </w:pPr>
            <w:r>
              <w:rPr>
                <w:sz w:val="24"/>
                <w:szCs w:val="24"/>
              </w:rPr>
              <w:t>Net Operating Income</w:t>
            </w:r>
          </w:p>
        </w:tc>
        <w:tc>
          <w:tcPr>
            <w:tcW w:w="3375" w:type="dxa"/>
          </w:tcPr>
          <w:p w14:paraId="7B31459C" w14:textId="1CD6E992" w:rsidR="002E33FC" w:rsidRPr="00303A68" w:rsidRDefault="002E33FC" w:rsidP="00BC79E0">
            <w:pPr>
              <w:jc w:val="center"/>
              <w:rPr>
                <w:sz w:val="24"/>
                <w:szCs w:val="24"/>
              </w:rPr>
            </w:pPr>
            <w:r w:rsidRPr="00303A68">
              <w:rPr>
                <w:sz w:val="24"/>
                <w:szCs w:val="24"/>
              </w:rPr>
              <w:t>$</w:t>
            </w:r>
            <w:proofErr w:type="spellStart"/>
            <w:r w:rsidR="00303A68" w:rsidRPr="00AB662E">
              <w:rPr>
                <w:sz w:val="24"/>
                <w:szCs w:val="24"/>
                <w:highlight w:val="black"/>
              </w:rPr>
              <w:t>xxx,xxx</w:t>
            </w:r>
            <w:proofErr w:type="spellEnd"/>
          </w:p>
        </w:tc>
        <w:tc>
          <w:tcPr>
            <w:tcW w:w="3375" w:type="dxa"/>
          </w:tcPr>
          <w:p w14:paraId="2C486849" w14:textId="7BCB4726" w:rsidR="002E33FC" w:rsidRDefault="002E33FC" w:rsidP="00BC79E0">
            <w:pPr>
              <w:jc w:val="center"/>
              <w:rPr>
                <w:sz w:val="24"/>
                <w:szCs w:val="24"/>
              </w:rPr>
            </w:pPr>
            <w:r>
              <w:rPr>
                <w:sz w:val="24"/>
                <w:szCs w:val="24"/>
              </w:rPr>
              <w:t>$</w:t>
            </w:r>
            <w:proofErr w:type="spellStart"/>
            <w:r w:rsidR="00303A68" w:rsidRPr="00AB662E">
              <w:rPr>
                <w:sz w:val="24"/>
                <w:szCs w:val="24"/>
                <w:highlight w:val="black"/>
              </w:rPr>
              <w:t>xxxxxx</w:t>
            </w:r>
            <w:proofErr w:type="spellEnd"/>
          </w:p>
        </w:tc>
      </w:tr>
      <w:tr w:rsidR="00BC79E0" w14:paraId="1E4058AE" w14:textId="77777777" w:rsidTr="00BC79E0">
        <w:tc>
          <w:tcPr>
            <w:tcW w:w="2335" w:type="dxa"/>
          </w:tcPr>
          <w:p w14:paraId="1B22003D" w14:textId="538642ED" w:rsidR="00BC79E0" w:rsidRDefault="00BC79E0" w:rsidP="00380145">
            <w:pPr>
              <w:jc w:val="both"/>
              <w:rPr>
                <w:sz w:val="24"/>
                <w:szCs w:val="24"/>
              </w:rPr>
            </w:pPr>
            <w:r>
              <w:rPr>
                <w:sz w:val="24"/>
                <w:szCs w:val="24"/>
              </w:rPr>
              <w:t>Add: Depreciation</w:t>
            </w:r>
          </w:p>
        </w:tc>
        <w:tc>
          <w:tcPr>
            <w:tcW w:w="3375" w:type="dxa"/>
          </w:tcPr>
          <w:p w14:paraId="026FD4A5" w14:textId="40757717" w:rsidR="00BC79E0" w:rsidRPr="004464D8" w:rsidRDefault="0092124B" w:rsidP="00BC79E0">
            <w:pPr>
              <w:jc w:val="center"/>
              <w:rPr>
                <w:sz w:val="24"/>
                <w:szCs w:val="24"/>
              </w:rPr>
            </w:pPr>
            <w:r w:rsidRPr="004464D8">
              <w:rPr>
                <w:sz w:val="24"/>
                <w:szCs w:val="24"/>
              </w:rPr>
              <w:t xml:space="preserve">    </w:t>
            </w:r>
            <w:proofErr w:type="spellStart"/>
            <w:r w:rsidR="00303A68" w:rsidRPr="00AB662E">
              <w:rPr>
                <w:sz w:val="24"/>
                <w:szCs w:val="24"/>
                <w:highlight w:val="black"/>
              </w:rPr>
              <w:t>xxxxx</w:t>
            </w:r>
            <w:proofErr w:type="spellEnd"/>
          </w:p>
        </w:tc>
        <w:tc>
          <w:tcPr>
            <w:tcW w:w="3375" w:type="dxa"/>
          </w:tcPr>
          <w:p w14:paraId="173D5F10" w14:textId="7566719D" w:rsidR="00BC79E0" w:rsidRDefault="0092124B" w:rsidP="00BC79E0">
            <w:pPr>
              <w:jc w:val="center"/>
              <w:rPr>
                <w:sz w:val="24"/>
                <w:szCs w:val="24"/>
              </w:rPr>
            </w:pPr>
            <w:r>
              <w:rPr>
                <w:sz w:val="24"/>
                <w:szCs w:val="24"/>
              </w:rPr>
              <w:t xml:space="preserve">  </w:t>
            </w:r>
            <w:proofErr w:type="spellStart"/>
            <w:r w:rsidR="00303A68" w:rsidRPr="00AB662E">
              <w:rPr>
                <w:sz w:val="24"/>
                <w:szCs w:val="24"/>
                <w:highlight w:val="black"/>
              </w:rPr>
              <w:t>xxxxxx</w:t>
            </w:r>
            <w:proofErr w:type="spellEnd"/>
          </w:p>
        </w:tc>
      </w:tr>
      <w:tr w:rsidR="00BC79E0" w14:paraId="0D1C3E61" w14:textId="77777777" w:rsidTr="00BC79E0">
        <w:tc>
          <w:tcPr>
            <w:tcW w:w="2335" w:type="dxa"/>
          </w:tcPr>
          <w:p w14:paraId="2596C150" w14:textId="7282CE0D" w:rsidR="00BC79E0" w:rsidRDefault="0092124B" w:rsidP="00380145">
            <w:pPr>
              <w:jc w:val="both"/>
              <w:rPr>
                <w:sz w:val="24"/>
                <w:szCs w:val="24"/>
              </w:rPr>
            </w:pPr>
            <w:r>
              <w:rPr>
                <w:sz w:val="24"/>
                <w:szCs w:val="24"/>
              </w:rPr>
              <w:t>Total</w:t>
            </w:r>
          </w:p>
        </w:tc>
        <w:tc>
          <w:tcPr>
            <w:tcW w:w="3375" w:type="dxa"/>
          </w:tcPr>
          <w:p w14:paraId="2382D316" w14:textId="76218014" w:rsidR="00BC79E0" w:rsidRPr="00303A68" w:rsidRDefault="00303A68" w:rsidP="00BC79E0">
            <w:pPr>
              <w:jc w:val="center"/>
              <w:rPr>
                <w:b/>
                <w:bCs/>
                <w:sz w:val="24"/>
                <w:szCs w:val="24"/>
              </w:rPr>
            </w:pPr>
            <w:proofErr w:type="spellStart"/>
            <w:r w:rsidRPr="00AB662E">
              <w:rPr>
                <w:b/>
                <w:bCs/>
                <w:sz w:val="24"/>
                <w:szCs w:val="24"/>
                <w:highlight w:val="black"/>
              </w:rPr>
              <w:t>xxxxxx</w:t>
            </w:r>
            <w:proofErr w:type="spellEnd"/>
          </w:p>
        </w:tc>
        <w:tc>
          <w:tcPr>
            <w:tcW w:w="3375" w:type="dxa"/>
          </w:tcPr>
          <w:p w14:paraId="6CE8AF3B" w14:textId="7E3B7CC4" w:rsidR="00BC79E0" w:rsidRPr="0092124B" w:rsidRDefault="0092124B" w:rsidP="0092124B">
            <w:pPr>
              <w:rPr>
                <w:b/>
                <w:bCs/>
                <w:sz w:val="24"/>
                <w:szCs w:val="24"/>
              </w:rPr>
            </w:pPr>
            <w:r w:rsidRPr="0092124B">
              <w:rPr>
                <w:b/>
                <w:bCs/>
                <w:sz w:val="24"/>
                <w:szCs w:val="24"/>
              </w:rPr>
              <w:t xml:space="preserve">                  $</w:t>
            </w:r>
            <w:proofErr w:type="spellStart"/>
            <w:r w:rsidR="00303A68" w:rsidRPr="00AB662E">
              <w:rPr>
                <w:b/>
                <w:bCs/>
                <w:sz w:val="24"/>
                <w:szCs w:val="24"/>
                <w:highlight w:val="black"/>
              </w:rPr>
              <w:t>xxxxxxx</w:t>
            </w:r>
            <w:proofErr w:type="spellEnd"/>
          </w:p>
        </w:tc>
      </w:tr>
      <w:tr w:rsidR="00BC79E0" w14:paraId="1EF52829" w14:textId="77777777" w:rsidTr="00BC79E0">
        <w:tc>
          <w:tcPr>
            <w:tcW w:w="2335" w:type="dxa"/>
          </w:tcPr>
          <w:p w14:paraId="0F91C38B" w14:textId="5639A642" w:rsidR="00BC79E0" w:rsidRDefault="005A3CC6" w:rsidP="00FC4E79">
            <w:pPr>
              <w:rPr>
                <w:sz w:val="24"/>
                <w:szCs w:val="24"/>
              </w:rPr>
            </w:pPr>
            <w:r>
              <w:rPr>
                <w:sz w:val="24"/>
                <w:szCs w:val="24"/>
              </w:rPr>
              <w:t xml:space="preserve">Annual </w:t>
            </w:r>
            <w:r w:rsidR="00FC4E79">
              <w:rPr>
                <w:sz w:val="24"/>
                <w:szCs w:val="24"/>
              </w:rPr>
              <w:t xml:space="preserve">Loan </w:t>
            </w:r>
            <w:r>
              <w:rPr>
                <w:sz w:val="24"/>
                <w:szCs w:val="24"/>
              </w:rPr>
              <w:t>Principal and Interest Payments</w:t>
            </w:r>
          </w:p>
        </w:tc>
        <w:tc>
          <w:tcPr>
            <w:tcW w:w="3375" w:type="dxa"/>
          </w:tcPr>
          <w:p w14:paraId="0786BA01" w14:textId="4B2E74FF" w:rsidR="00BC79E0" w:rsidRDefault="005A3CC6" w:rsidP="00BC79E0">
            <w:pPr>
              <w:jc w:val="center"/>
              <w:rPr>
                <w:sz w:val="24"/>
                <w:szCs w:val="24"/>
              </w:rPr>
            </w:pPr>
            <w:r w:rsidRPr="00AB662E">
              <w:rPr>
                <w:sz w:val="24"/>
                <w:szCs w:val="24"/>
                <w:highlight w:val="black"/>
              </w:rPr>
              <w:t>$</w:t>
            </w:r>
            <w:proofErr w:type="spellStart"/>
            <w:r w:rsidR="00303A68" w:rsidRPr="00AB662E">
              <w:rPr>
                <w:sz w:val="24"/>
                <w:szCs w:val="24"/>
                <w:highlight w:val="black"/>
              </w:rPr>
              <w:t>xxxxx</w:t>
            </w:r>
            <w:proofErr w:type="spellEnd"/>
            <w:r w:rsidR="007A1AF9">
              <w:rPr>
                <w:rStyle w:val="FootnoteReference"/>
                <w:sz w:val="24"/>
                <w:szCs w:val="24"/>
              </w:rPr>
              <w:footnoteReference w:id="5"/>
            </w:r>
          </w:p>
          <w:p w14:paraId="660756BA" w14:textId="504B35F9" w:rsidR="006B16D7" w:rsidRPr="00B0516E" w:rsidRDefault="006B16D7" w:rsidP="00BC79E0">
            <w:pPr>
              <w:jc w:val="center"/>
              <w:rPr>
                <w:sz w:val="24"/>
                <w:szCs w:val="24"/>
              </w:rPr>
            </w:pPr>
            <w:r>
              <w:rPr>
                <w:sz w:val="24"/>
                <w:szCs w:val="24"/>
              </w:rPr>
              <w:t>($</w:t>
            </w:r>
            <w:proofErr w:type="spellStart"/>
            <w:r w:rsidR="00303A68" w:rsidRPr="00AB662E">
              <w:rPr>
                <w:sz w:val="24"/>
                <w:szCs w:val="24"/>
                <w:highlight w:val="black"/>
              </w:rPr>
              <w:t>xxxxxxxxxxx</w:t>
            </w:r>
            <w:proofErr w:type="spellEnd"/>
            <w:r>
              <w:rPr>
                <w:sz w:val="24"/>
                <w:szCs w:val="24"/>
              </w:rPr>
              <w:t>)</w:t>
            </w:r>
          </w:p>
        </w:tc>
        <w:tc>
          <w:tcPr>
            <w:tcW w:w="3375" w:type="dxa"/>
          </w:tcPr>
          <w:p w14:paraId="47A4ACA4" w14:textId="70627B67" w:rsidR="00BC79E0" w:rsidRDefault="005A3CC6" w:rsidP="00BC79E0">
            <w:pPr>
              <w:jc w:val="center"/>
              <w:rPr>
                <w:sz w:val="24"/>
                <w:szCs w:val="24"/>
              </w:rPr>
            </w:pPr>
            <w:r>
              <w:rPr>
                <w:sz w:val="24"/>
                <w:szCs w:val="24"/>
              </w:rPr>
              <w:t>$</w:t>
            </w:r>
            <w:proofErr w:type="spellStart"/>
            <w:r w:rsidR="00303A68" w:rsidRPr="00AB662E">
              <w:rPr>
                <w:sz w:val="24"/>
                <w:szCs w:val="24"/>
                <w:highlight w:val="black"/>
              </w:rPr>
              <w:t>xxxxxx</w:t>
            </w:r>
            <w:proofErr w:type="spellEnd"/>
            <w:r w:rsidR="00AA5037">
              <w:rPr>
                <w:rStyle w:val="FootnoteReference"/>
                <w:sz w:val="24"/>
                <w:szCs w:val="24"/>
              </w:rPr>
              <w:footnoteReference w:id="6"/>
            </w:r>
          </w:p>
          <w:p w14:paraId="4297165B" w14:textId="0D25187B" w:rsidR="006B16D7" w:rsidRDefault="006B16D7" w:rsidP="00BC79E0">
            <w:pPr>
              <w:jc w:val="center"/>
              <w:rPr>
                <w:sz w:val="24"/>
                <w:szCs w:val="24"/>
              </w:rPr>
            </w:pPr>
            <w:r>
              <w:rPr>
                <w:sz w:val="24"/>
                <w:szCs w:val="24"/>
              </w:rPr>
              <w:t>($</w:t>
            </w:r>
            <w:proofErr w:type="spellStart"/>
            <w:r w:rsidR="00303A68" w:rsidRPr="00AB662E">
              <w:rPr>
                <w:sz w:val="24"/>
                <w:szCs w:val="24"/>
                <w:highlight w:val="black"/>
              </w:rPr>
              <w:t>xxxxxxxxxxxxxxx</w:t>
            </w:r>
            <w:proofErr w:type="spellEnd"/>
            <w:r>
              <w:rPr>
                <w:sz w:val="24"/>
                <w:szCs w:val="24"/>
              </w:rPr>
              <w:t>)</w:t>
            </w:r>
          </w:p>
        </w:tc>
      </w:tr>
      <w:tr w:rsidR="005A3CC6" w14:paraId="58E7B96F" w14:textId="77777777" w:rsidTr="00BC79E0">
        <w:tc>
          <w:tcPr>
            <w:tcW w:w="2335" w:type="dxa"/>
          </w:tcPr>
          <w:p w14:paraId="45D7A73B" w14:textId="5524C578" w:rsidR="005A3CC6" w:rsidRDefault="005A3CC6" w:rsidP="00FC4E79">
            <w:pPr>
              <w:rPr>
                <w:sz w:val="24"/>
                <w:szCs w:val="24"/>
              </w:rPr>
            </w:pPr>
            <w:r>
              <w:rPr>
                <w:sz w:val="24"/>
                <w:szCs w:val="24"/>
              </w:rPr>
              <w:t>Debt Service Coverage Ratio</w:t>
            </w:r>
          </w:p>
        </w:tc>
        <w:tc>
          <w:tcPr>
            <w:tcW w:w="3375" w:type="dxa"/>
          </w:tcPr>
          <w:p w14:paraId="135EE15D" w14:textId="77777777" w:rsidR="005A3CC6" w:rsidRDefault="00DF4A84" w:rsidP="00BC79E0">
            <w:pPr>
              <w:jc w:val="center"/>
              <w:rPr>
                <w:sz w:val="24"/>
                <w:szCs w:val="24"/>
              </w:rPr>
            </w:pPr>
            <w:r>
              <w:rPr>
                <w:sz w:val="24"/>
                <w:szCs w:val="24"/>
              </w:rPr>
              <w:t>5.68</w:t>
            </w:r>
          </w:p>
          <w:p w14:paraId="7D376782" w14:textId="7B554BA9" w:rsidR="00DF4A84" w:rsidRDefault="00DF4A84" w:rsidP="00BC79E0">
            <w:pPr>
              <w:jc w:val="center"/>
              <w:rPr>
                <w:sz w:val="24"/>
                <w:szCs w:val="24"/>
              </w:rPr>
            </w:pPr>
            <w:r>
              <w:rPr>
                <w:sz w:val="24"/>
                <w:szCs w:val="24"/>
              </w:rPr>
              <w:t>(Met)</w:t>
            </w:r>
          </w:p>
        </w:tc>
        <w:tc>
          <w:tcPr>
            <w:tcW w:w="3375" w:type="dxa"/>
          </w:tcPr>
          <w:p w14:paraId="6CCD67BF" w14:textId="77777777" w:rsidR="005A3CC6" w:rsidRDefault="00DF4A84" w:rsidP="00BC79E0">
            <w:pPr>
              <w:jc w:val="center"/>
              <w:rPr>
                <w:sz w:val="24"/>
                <w:szCs w:val="24"/>
              </w:rPr>
            </w:pPr>
            <w:r>
              <w:rPr>
                <w:sz w:val="24"/>
                <w:szCs w:val="24"/>
              </w:rPr>
              <w:t xml:space="preserve">1.97 </w:t>
            </w:r>
          </w:p>
          <w:p w14:paraId="518AE7B4" w14:textId="12448C62" w:rsidR="00DF4A84" w:rsidRDefault="00DF4A84" w:rsidP="00BC79E0">
            <w:pPr>
              <w:jc w:val="center"/>
              <w:rPr>
                <w:sz w:val="24"/>
                <w:szCs w:val="24"/>
              </w:rPr>
            </w:pPr>
            <w:r>
              <w:rPr>
                <w:sz w:val="24"/>
                <w:szCs w:val="24"/>
              </w:rPr>
              <w:t>(Met)</w:t>
            </w:r>
          </w:p>
        </w:tc>
      </w:tr>
    </w:tbl>
    <w:p w14:paraId="6B4937DD" w14:textId="67D6BCCF" w:rsidR="00127675" w:rsidRDefault="00127675" w:rsidP="00380145">
      <w:pPr>
        <w:jc w:val="both"/>
        <w:rPr>
          <w:sz w:val="24"/>
          <w:szCs w:val="24"/>
        </w:rPr>
      </w:pPr>
    </w:p>
    <w:p w14:paraId="65707A71" w14:textId="77777777" w:rsidR="00F92EB2" w:rsidRPr="00F92EB2" w:rsidRDefault="00F92EB2" w:rsidP="00F92EB2">
      <w:pPr>
        <w:jc w:val="both"/>
        <w:rPr>
          <w:rFonts w:eastAsia="Calibri"/>
          <w:i/>
          <w:iCs/>
          <w:sz w:val="24"/>
          <w:szCs w:val="24"/>
        </w:rPr>
      </w:pPr>
      <w:r w:rsidRPr="00F92EB2">
        <w:rPr>
          <w:rFonts w:eastAsia="Calibri"/>
          <w:i/>
          <w:iCs/>
          <w:sz w:val="24"/>
          <w:szCs w:val="24"/>
        </w:rPr>
        <w:t>Operations test</w:t>
      </w:r>
    </w:p>
    <w:p w14:paraId="27162F7F" w14:textId="785D30B2" w:rsidR="00F92EB2" w:rsidRPr="00F92EB2" w:rsidRDefault="00F92EB2" w:rsidP="00F92EB2">
      <w:pPr>
        <w:jc w:val="both"/>
        <w:rPr>
          <w:rFonts w:eastAsia="Calibri"/>
          <w:sz w:val="24"/>
          <w:szCs w:val="24"/>
        </w:rPr>
      </w:pPr>
      <w:r w:rsidRPr="00F92EB2">
        <w:rPr>
          <w:rFonts w:eastAsia="Calibri"/>
          <w:sz w:val="24"/>
          <w:szCs w:val="24"/>
        </w:rPr>
        <w:t xml:space="preserve">An owner or operator must demonstrate sufficient available cash to cover projected cash shortages for operations and maintenance expense during the first five years of operations, as required by 16 TAC § 24.11(e)(3). </w:t>
      </w:r>
      <w:r w:rsidR="004D46C7">
        <w:rPr>
          <w:rFonts w:eastAsia="Calibri"/>
          <w:sz w:val="24"/>
          <w:szCs w:val="24"/>
        </w:rPr>
        <w:t xml:space="preserve"> </w:t>
      </w:r>
      <w:r w:rsidR="004D46C7" w:rsidRPr="00312132">
        <w:rPr>
          <w:sz w:val="24"/>
          <w:szCs w:val="24"/>
        </w:rPr>
        <w:t>No operating shortages are expected in the future based on the historical profits of</w:t>
      </w:r>
      <w:r w:rsidR="004D46C7">
        <w:rPr>
          <w:sz w:val="24"/>
          <w:szCs w:val="24"/>
        </w:rPr>
        <w:t xml:space="preserve"> Horseshoe Bend and Lone Star.</w:t>
      </w:r>
    </w:p>
    <w:p w14:paraId="1928EAF0" w14:textId="33F463FD" w:rsidR="00F92EB2" w:rsidRDefault="00F92EB2" w:rsidP="00F92EB2">
      <w:pPr>
        <w:jc w:val="both"/>
        <w:rPr>
          <w:rFonts w:eastAsia="Calibri"/>
          <w:sz w:val="24"/>
          <w:szCs w:val="24"/>
        </w:rPr>
      </w:pPr>
    </w:p>
    <w:p w14:paraId="1AA7A7DF" w14:textId="23E04B80" w:rsidR="00796212" w:rsidRPr="00D22E0E" w:rsidRDefault="0017731B" w:rsidP="00796212">
      <w:pPr>
        <w:jc w:val="both"/>
        <w:rPr>
          <w:sz w:val="24"/>
          <w:szCs w:val="24"/>
        </w:rPr>
      </w:pPr>
      <w:r>
        <w:rPr>
          <w:sz w:val="24"/>
          <w:szCs w:val="24"/>
        </w:rPr>
        <w:t xml:space="preserve">In addition, </w:t>
      </w:r>
      <w:r w:rsidR="00796212">
        <w:rPr>
          <w:sz w:val="24"/>
          <w:szCs w:val="24"/>
        </w:rPr>
        <w:t>TTH provided a certification of deposit from Chase Bank</w:t>
      </w:r>
      <w:r w:rsidR="00796212">
        <w:rPr>
          <w:rStyle w:val="FootnoteReference"/>
          <w:sz w:val="24"/>
          <w:szCs w:val="24"/>
        </w:rPr>
        <w:footnoteReference w:id="7"/>
      </w:r>
      <w:r w:rsidR="00796212">
        <w:rPr>
          <w:sz w:val="24"/>
          <w:szCs w:val="24"/>
        </w:rPr>
        <w:t xml:space="preserve"> and Mr. Paul Kauffman, the owner of TTH</w:t>
      </w:r>
      <w:r w:rsidR="00B02BD4">
        <w:rPr>
          <w:sz w:val="24"/>
          <w:szCs w:val="24"/>
        </w:rPr>
        <w:t>,</w:t>
      </w:r>
      <w:r w:rsidR="00796212">
        <w:rPr>
          <w:sz w:val="24"/>
          <w:szCs w:val="24"/>
        </w:rPr>
        <w:t xml:space="preserve"> also issued a Certificate of Assurance confirming the agreement and guarantee of Triton Texas Holdings LLC to cover any operations and/or maintenance shortages,</w:t>
      </w:r>
      <w:r w:rsidR="00796212">
        <w:rPr>
          <w:rStyle w:val="FootnoteReference"/>
          <w:sz w:val="24"/>
          <w:szCs w:val="24"/>
        </w:rPr>
        <w:footnoteReference w:id="8"/>
      </w:r>
      <w:r w:rsidR="00796212">
        <w:rPr>
          <w:sz w:val="24"/>
          <w:szCs w:val="24"/>
        </w:rPr>
        <w:t xml:space="preserve"> if any, of Lone Star and Horseshoe Bend over the first five years of operations of each company.</w:t>
      </w:r>
    </w:p>
    <w:p w14:paraId="41ACBBA6" w14:textId="77777777" w:rsidR="00796212" w:rsidRPr="00F92EB2" w:rsidRDefault="00796212" w:rsidP="00F92EB2">
      <w:pPr>
        <w:jc w:val="both"/>
        <w:rPr>
          <w:rFonts w:eastAsia="Calibri"/>
          <w:sz w:val="24"/>
          <w:szCs w:val="24"/>
        </w:rPr>
      </w:pPr>
    </w:p>
    <w:p w14:paraId="0EA51C1E" w14:textId="1C4DD2C0" w:rsidR="00D22E0E" w:rsidRPr="00D22E0E" w:rsidRDefault="00D22E0E" w:rsidP="00D22E0E">
      <w:pPr>
        <w:jc w:val="both"/>
        <w:rPr>
          <w:sz w:val="24"/>
          <w:szCs w:val="24"/>
        </w:rPr>
      </w:pPr>
      <w:r w:rsidRPr="00D22E0E">
        <w:rPr>
          <w:sz w:val="24"/>
          <w:szCs w:val="24"/>
        </w:rPr>
        <w:t>I recommend that the Commission find that the change of ownership requested in this application is in the public interest and that the Commission approve the transaction.</w:t>
      </w:r>
      <w:r w:rsidR="00503A67">
        <w:rPr>
          <w:sz w:val="24"/>
          <w:szCs w:val="24"/>
        </w:rPr>
        <w:t xml:space="preserve"> </w:t>
      </w:r>
    </w:p>
    <w:p w14:paraId="6F3461F8" w14:textId="77777777" w:rsidR="00D22E0E" w:rsidRPr="00D22E0E" w:rsidRDefault="00D22E0E" w:rsidP="00D22E0E">
      <w:pPr>
        <w:jc w:val="both"/>
        <w:rPr>
          <w:sz w:val="24"/>
          <w:szCs w:val="24"/>
        </w:rPr>
      </w:pPr>
    </w:p>
    <w:p w14:paraId="479F5457" w14:textId="37C862B2" w:rsidR="00D22E0E" w:rsidRDefault="00D22E0E" w:rsidP="00D22E0E">
      <w:pPr>
        <w:jc w:val="both"/>
        <w:rPr>
          <w:sz w:val="24"/>
          <w:szCs w:val="24"/>
        </w:rPr>
      </w:pPr>
    </w:p>
    <w:p w14:paraId="1D7F1F02" w14:textId="30D5491F" w:rsidR="00DE4C15" w:rsidRDefault="00DE4C15" w:rsidP="00D22E0E">
      <w:pPr>
        <w:jc w:val="both"/>
        <w:rPr>
          <w:sz w:val="24"/>
          <w:szCs w:val="24"/>
        </w:rPr>
      </w:pPr>
    </w:p>
    <w:p w14:paraId="61226587" w14:textId="7F9DCBB9" w:rsidR="00DE4C15" w:rsidRDefault="00DE4C15" w:rsidP="00D22E0E">
      <w:pPr>
        <w:jc w:val="both"/>
        <w:rPr>
          <w:sz w:val="24"/>
          <w:szCs w:val="24"/>
        </w:rPr>
      </w:pPr>
    </w:p>
    <w:p w14:paraId="639D76AF" w14:textId="2ADF08CB" w:rsidR="00DE4C15" w:rsidRDefault="00DE4C15" w:rsidP="00D22E0E">
      <w:pPr>
        <w:jc w:val="both"/>
        <w:rPr>
          <w:sz w:val="24"/>
          <w:szCs w:val="24"/>
        </w:rPr>
      </w:pPr>
    </w:p>
    <w:p w14:paraId="496118D4" w14:textId="77777777" w:rsidR="00DE4C15" w:rsidRPr="00D22E0E" w:rsidRDefault="00DE4C15" w:rsidP="00D22E0E">
      <w:pPr>
        <w:jc w:val="both"/>
        <w:rPr>
          <w:sz w:val="24"/>
          <w:szCs w:val="24"/>
        </w:rPr>
      </w:pPr>
    </w:p>
    <w:sectPr w:rsidR="00DE4C15" w:rsidRPr="00D22E0E" w:rsidSect="00103B84">
      <w:headerReference w:type="default" r:id="rId11"/>
      <w:type w:val="continuous"/>
      <w:pgSz w:w="12240" w:h="15840"/>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01984" w14:textId="77777777" w:rsidR="00AD2D36" w:rsidRDefault="00AD2D36">
      <w:r>
        <w:separator/>
      </w:r>
    </w:p>
  </w:endnote>
  <w:endnote w:type="continuationSeparator" w:id="0">
    <w:p w14:paraId="169DBDE1" w14:textId="77777777" w:rsidR="00AD2D36" w:rsidRDefault="00AD2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966" w14:textId="77777777" w:rsidR="003A12E5" w:rsidRDefault="003A12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50654" w14:textId="77777777" w:rsidR="00AD2D36" w:rsidRDefault="00AD2D36">
      <w:r>
        <w:separator/>
      </w:r>
    </w:p>
  </w:footnote>
  <w:footnote w:type="continuationSeparator" w:id="0">
    <w:p w14:paraId="1F27D055" w14:textId="77777777" w:rsidR="00AD2D36" w:rsidRDefault="00AD2D36">
      <w:r>
        <w:continuationSeparator/>
      </w:r>
    </w:p>
  </w:footnote>
  <w:footnote w:id="1">
    <w:p w14:paraId="7B67D7FE" w14:textId="7069F9EC" w:rsidR="0071512B" w:rsidRPr="0071512B" w:rsidRDefault="0071512B" w:rsidP="00465FB9">
      <w:pPr>
        <w:pStyle w:val="FootnoteText"/>
        <w:spacing w:after="120"/>
        <w:ind w:firstLine="720"/>
        <w:jc w:val="both"/>
        <w:rPr>
          <w:rFonts w:ascii="Times New Roman" w:hAnsi="Times New Roman" w:cs="Times New Roman"/>
          <w:i/>
          <w:iCs/>
        </w:rPr>
      </w:pPr>
      <w:r>
        <w:rPr>
          <w:rStyle w:val="FootnoteReference"/>
        </w:rPr>
        <w:footnoteRef/>
      </w:r>
      <w:r>
        <w:t xml:space="preserve"> </w:t>
      </w:r>
      <w:r w:rsidR="009C670D">
        <w:t xml:space="preserve"> </w:t>
      </w:r>
      <w:r>
        <w:rPr>
          <w:rFonts w:ascii="Times New Roman" w:hAnsi="Times New Roman" w:cs="Times New Roman"/>
          <w:i/>
          <w:iCs/>
        </w:rPr>
        <w:t xml:space="preserve">Application of Triton Texas Holdings LLC, The Kauffman Family Living Trust, Dated April 9, 2015, Disciple Asset Holdings, LP, and Malakoff Family Holdings, LP, for Approval of Changes in Ownership Under Texas Water </w:t>
      </w:r>
      <w:r w:rsidRPr="0071512B">
        <w:rPr>
          <w:rFonts w:ascii="Times New Roman" w:hAnsi="Times New Roman" w:cs="Times New Roman"/>
          <w:i/>
          <w:iCs/>
        </w:rPr>
        <w:t>Code § 13.302</w:t>
      </w:r>
      <w:r w:rsidR="00B83160">
        <w:rPr>
          <w:rFonts w:ascii="Times New Roman" w:hAnsi="Times New Roman" w:cs="Times New Roman"/>
          <w:i/>
          <w:iCs/>
        </w:rPr>
        <w:t xml:space="preserve"> </w:t>
      </w:r>
      <w:r w:rsidR="00B83160" w:rsidRPr="00B83160">
        <w:rPr>
          <w:rFonts w:ascii="Times New Roman" w:hAnsi="Times New Roman" w:cs="Times New Roman"/>
        </w:rPr>
        <w:t>(Sep. 22, 2021).</w:t>
      </w:r>
    </w:p>
  </w:footnote>
  <w:footnote w:id="2">
    <w:p w14:paraId="05E7DDF2" w14:textId="05E74D32" w:rsidR="0006525C" w:rsidRPr="0006525C" w:rsidRDefault="0006525C" w:rsidP="00465FB9">
      <w:pPr>
        <w:pStyle w:val="FootnoteText"/>
        <w:ind w:firstLine="720"/>
        <w:jc w:val="both"/>
        <w:rPr>
          <w:rFonts w:ascii="Times New Roman" w:hAnsi="Times New Roman" w:cs="Times New Roman"/>
          <w:i/>
          <w:iCs/>
        </w:rPr>
      </w:pPr>
      <w:r>
        <w:rPr>
          <w:rStyle w:val="FootnoteReference"/>
        </w:rPr>
        <w:footnoteRef/>
      </w:r>
      <w:r>
        <w:t xml:space="preserve"> </w:t>
      </w:r>
      <w:r w:rsidR="009C670D">
        <w:t xml:space="preserve"> </w:t>
      </w:r>
      <w:r>
        <w:rPr>
          <w:rFonts w:ascii="Times New Roman" w:hAnsi="Times New Roman" w:cs="Times New Roman"/>
          <w:i/>
          <w:iCs/>
        </w:rPr>
        <w:t xml:space="preserve">Amended Application for Approval of Changes in Ownership Under Texas Water </w:t>
      </w:r>
      <w:r w:rsidRPr="0071512B">
        <w:rPr>
          <w:rFonts w:ascii="Times New Roman" w:hAnsi="Times New Roman" w:cs="Times New Roman"/>
          <w:i/>
          <w:iCs/>
        </w:rPr>
        <w:t>Code § 13.302</w:t>
      </w:r>
      <w:r>
        <w:rPr>
          <w:rFonts w:ascii="Times New Roman" w:hAnsi="Times New Roman" w:cs="Times New Roman"/>
          <w:i/>
          <w:iCs/>
        </w:rPr>
        <w:t xml:space="preserve"> </w:t>
      </w:r>
      <w:r w:rsidRPr="00B83160">
        <w:rPr>
          <w:rFonts w:ascii="Times New Roman" w:hAnsi="Times New Roman" w:cs="Times New Roman"/>
        </w:rPr>
        <w:t>(</w:t>
      </w:r>
      <w:r>
        <w:rPr>
          <w:rFonts w:ascii="Times New Roman" w:hAnsi="Times New Roman" w:cs="Times New Roman"/>
        </w:rPr>
        <w:t xml:space="preserve">Oct. </w:t>
      </w:r>
      <w:r w:rsidRPr="00B83160">
        <w:rPr>
          <w:rFonts w:ascii="Times New Roman" w:hAnsi="Times New Roman" w:cs="Times New Roman"/>
        </w:rPr>
        <w:t>2</w:t>
      </w:r>
      <w:r>
        <w:rPr>
          <w:rFonts w:ascii="Times New Roman" w:hAnsi="Times New Roman" w:cs="Times New Roman"/>
        </w:rPr>
        <w:t>0</w:t>
      </w:r>
      <w:r w:rsidRPr="00B83160">
        <w:rPr>
          <w:rFonts w:ascii="Times New Roman" w:hAnsi="Times New Roman" w:cs="Times New Roman"/>
        </w:rPr>
        <w:t>, 2021).</w:t>
      </w:r>
    </w:p>
  </w:footnote>
  <w:footnote w:id="3">
    <w:p w14:paraId="42B5D8C8" w14:textId="77777777" w:rsidR="00127675" w:rsidRPr="000B116D" w:rsidRDefault="00127675" w:rsidP="00127675">
      <w:pPr>
        <w:pStyle w:val="FootnoteText"/>
        <w:ind w:firstLine="720"/>
        <w:jc w:val="both"/>
        <w:rPr>
          <w:rFonts w:ascii="Times New Roman" w:hAnsi="Times New Roman" w:cs="Times New Roman"/>
        </w:rPr>
      </w:pPr>
      <w:r>
        <w:rPr>
          <w:rStyle w:val="FootnoteReference"/>
        </w:rPr>
        <w:footnoteRef/>
      </w:r>
      <w:r>
        <w:t xml:space="preserve">  </w:t>
      </w:r>
      <w:r w:rsidRPr="000B116D">
        <w:rPr>
          <w:rFonts w:ascii="Times New Roman" w:hAnsi="Times New Roman" w:cs="Times New Roman"/>
        </w:rPr>
        <w:t>Horseshoe Bend Water Company LLC</w:t>
      </w:r>
      <w:r>
        <w:rPr>
          <w:rFonts w:ascii="Times New Roman" w:hAnsi="Times New Roman" w:cs="Times New Roman"/>
        </w:rPr>
        <w:t xml:space="preserve">, </w:t>
      </w:r>
      <w:r w:rsidRPr="00AB662E">
        <w:rPr>
          <w:rFonts w:ascii="Times New Roman" w:hAnsi="Times New Roman" w:cs="Times New Roman"/>
        </w:rPr>
        <w:t>(Filed Confidentially</w:t>
      </w:r>
      <w:r w:rsidRPr="00AB662E">
        <w:rPr>
          <w:rFonts w:ascii="Times New Roman" w:hAnsi="Times New Roman" w:cs="Times New Roman"/>
          <w:i/>
          <w:iCs/>
        </w:rPr>
        <w:t xml:space="preserve">) </w:t>
      </w:r>
      <w:r w:rsidRPr="00641685">
        <w:rPr>
          <w:rFonts w:ascii="Times New Roman" w:hAnsi="Times New Roman" w:cs="Times New Roman"/>
          <w:i/>
          <w:iCs/>
        </w:rPr>
        <w:t>Statement of Income, 12 Months Ending September 30, 2021</w:t>
      </w:r>
      <w:r>
        <w:rPr>
          <w:rFonts w:ascii="Times New Roman" w:hAnsi="Times New Roman" w:cs="Times New Roman"/>
          <w:i/>
          <w:iCs/>
        </w:rPr>
        <w:t xml:space="preserve"> </w:t>
      </w:r>
      <w:r>
        <w:rPr>
          <w:rFonts w:ascii="Times New Roman" w:hAnsi="Times New Roman" w:cs="Times New Roman"/>
        </w:rPr>
        <w:t>(Nov. 22, 2021).</w:t>
      </w:r>
      <w:r w:rsidRPr="000B116D">
        <w:rPr>
          <w:rFonts w:ascii="Times New Roman" w:hAnsi="Times New Roman" w:cs="Times New Roman"/>
        </w:rPr>
        <w:t xml:space="preserve"> </w:t>
      </w:r>
    </w:p>
  </w:footnote>
  <w:footnote w:id="4">
    <w:p w14:paraId="035264EB" w14:textId="77777777" w:rsidR="00127675" w:rsidRPr="000B116D" w:rsidRDefault="00127675" w:rsidP="00127675">
      <w:pPr>
        <w:pStyle w:val="FootnoteText"/>
        <w:spacing w:before="120" w:after="120"/>
        <w:ind w:firstLine="720"/>
        <w:jc w:val="both"/>
        <w:rPr>
          <w:rFonts w:ascii="Times New Roman" w:hAnsi="Times New Roman" w:cs="Times New Roman"/>
        </w:rPr>
      </w:pPr>
      <w:r w:rsidRPr="000B116D">
        <w:rPr>
          <w:rStyle w:val="FootnoteReference"/>
          <w:rFonts w:ascii="Times New Roman" w:hAnsi="Times New Roman" w:cs="Times New Roman"/>
        </w:rPr>
        <w:footnoteRef/>
      </w:r>
      <w:r w:rsidRPr="000B116D">
        <w:rPr>
          <w:rFonts w:ascii="Times New Roman" w:hAnsi="Times New Roman" w:cs="Times New Roman"/>
        </w:rPr>
        <w:t xml:space="preserve"> </w:t>
      </w:r>
      <w:r>
        <w:rPr>
          <w:rFonts w:ascii="Times New Roman" w:hAnsi="Times New Roman" w:cs="Times New Roman"/>
        </w:rPr>
        <w:t xml:space="preserve"> </w:t>
      </w:r>
      <w:r w:rsidRPr="009513E7">
        <w:rPr>
          <w:rFonts w:ascii="Times New Roman" w:hAnsi="Times New Roman" w:cs="Times New Roman"/>
          <w:i/>
          <w:iCs/>
        </w:rPr>
        <w:t xml:space="preserve">2019 </w:t>
      </w:r>
      <w:r w:rsidRPr="00F3142D">
        <w:rPr>
          <w:rFonts w:ascii="Times New Roman" w:hAnsi="Times New Roman" w:cs="Times New Roman"/>
          <w:i/>
          <w:iCs/>
        </w:rPr>
        <w:t>A</w:t>
      </w:r>
      <w:r w:rsidRPr="00B10936">
        <w:rPr>
          <w:rFonts w:ascii="Times New Roman" w:hAnsi="Times New Roman" w:cs="Times New Roman"/>
          <w:i/>
          <w:iCs/>
        </w:rPr>
        <w:t>nnual Reports of Water and Wastewater Utilitie</w:t>
      </w:r>
      <w:r>
        <w:rPr>
          <w:rFonts w:ascii="Times New Roman" w:hAnsi="Times New Roman" w:cs="Times New Roman"/>
          <w:i/>
          <w:iCs/>
        </w:rPr>
        <w:t>s</w:t>
      </w:r>
      <w:r w:rsidRPr="00B10936">
        <w:rPr>
          <w:rFonts w:ascii="Times New Roman" w:hAnsi="Times New Roman" w:cs="Times New Roman"/>
        </w:rPr>
        <w:t>,</w:t>
      </w:r>
      <w:r>
        <w:rPr>
          <w:rFonts w:ascii="Times New Roman" w:hAnsi="Times New Roman" w:cs="Times New Roman"/>
        </w:rPr>
        <w:t xml:space="preserve"> Project</w:t>
      </w:r>
      <w:r w:rsidRPr="00490CEC">
        <w:rPr>
          <w:rFonts w:ascii="Times New Roman" w:hAnsi="Times New Roman" w:cs="Times New Roman"/>
        </w:rPr>
        <w:t xml:space="preserve"> No. 5</w:t>
      </w:r>
      <w:r>
        <w:rPr>
          <w:rFonts w:ascii="Times New Roman" w:hAnsi="Times New Roman" w:cs="Times New Roman"/>
        </w:rPr>
        <w:t xml:space="preserve">1720, 2020 Annual Report (May </w:t>
      </w:r>
      <w:r w:rsidRPr="00B10936">
        <w:rPr>
          <w:rFonts w:ascii="Times New Roman" w:hAnsi="Times New Roman" w:cs="Times New Roman"/>
        </w:rPr>
        <w:t>20, 202</w:t>
      </w:r>
      <w:r>
        <w:rPr>
          <w:rFonts w:ascii="Times New Roman" w:hAnsi="Times New Roman" w:cs="Times New Roman"/>
        </w:rPr>
        <w:t>1).</w:t>
      </w:r>
      <w:r w:rsidRPr="00B10936">
        <w:rPr>
          <w:rFonts w:ascii="Times New Roman" w:hAnsi="Times New Roman" w:cs="Times New Roman"/>
        </w:rPr>
        <w:t xml:space="preserve"> </w:t>
      </w:r>
    </w:p>
  </w:footnote>
  <w:footnote w:id="5">
    <w:p w14:paraId="78BC8EC8" w14:textId="742849EA" w:rsidR="007A1AF9" w:rsidRPr="00326F26" w:rsidRDefault="007A1AF9" w:rsidP="00465FB9">
      <w:pPr>
        <w:pStyle w:val="FootnoteText"/>
        <w:spacing w:after="120"/>
        <w:ind w:firstLine="720"/>
        <w:rPr>
          <w:rFonts w:ascii="Times New Roman" w:hAnsi="Times New Roman" w:cs="Times New Roman"/>
        </w:rPr>
      </w:pPr>
      <w:r w:rsidRPr="00326F26">
        <w:rPr>
          <w:rStyle w:val="FootnoteReference"/>
          <w:rFonts w:ascii="Times New Roman" w:hAnsi="Times New Roman" w:cs="Times New Roman"/>
        </w:rPr>
        <w:footnoteRef/>
      </w:r>
      <w:r w:rsidR="00D45965">
        <w:rPr>
          <w:rFonts w:ascii="Times New Roman" w:hAnsi="Times New Roman" w:cs="Times New Roman"/>
        </w:rPr>
        <w:t xml:space="preserve"> </w:t>
      </w:r>
      <w:r w:rsidRPr="00326F26">
        <w:rPr>
          <w:rFonts w:ascii="Times New Roman" w:hAnsi="Times New Roman" w:cs="Times New Roman"/>
        </w:rPr>
        <w:t xml:space="preserve"> </w:t>
      </w:r>
      <w:r w:rsidR="0026113E" w:rsidRPr="00326F26">
        <w:rPr>
          <w:rFonts w:ascii="Times New Roman" w:hAnsi="Times New Roman" w:cs="Times New Roman"/>
        </w:rPr>
        <w:t xml:space="preserve">Supplemental Financial Information, </w:t>
      </w:r>
      <w:r w:rsidR="005561E8" w:rsidRPr="00326F26">
        <w:rPr>
          <w:rFonts w:ascii="Times New Roman" w:hAnsi="Times New Roman" w:cs="Times New Roman"/>
        </w:rPr>
        <w:t>Debt Schedule, Exhibit B (Nov. 29, 2021).</w:t>
      </w:r>
    </w:p>
  </w:footnote>
  <w:footnote w:id="6">
    <w:p w14:paraId="45A92488" w14:textId="48A88161" w:rsidR="00AA5037" w:rsidRPr="00326F26" w:rsidRDefault="00AA5037" w:rsidP="00465FB9">
      <w:pPr>
        <w:pStyle w:val="FootnoteText"/>
        <w:spacing w:after="120"/>
        <w:ind w:firstLine="720"/>
        <w:rPr>
          <w:rFonts w:ascii="Times New Roman" w:hAnsi="Times New Roman" w:cs="Times New Roman"/>
        </w:rPr>
      </w:pPr>
      <w:r w:rsidRPr="00326F26">
        <w:rPr>
          <w:rStyle w:val="FootnoteReference"/>
          <w:rFonts w:ascii="Times New Roman" w:hAnsi="Times New Roman" w:cs="Times New Roman"/>
        </w:rPr>
        <w:footnoteRef/>
      </w:r>
      <w:r w:rsidRPr="00326F26">
        <w:rPr>
          <w:rFonts w:ascii="Times New Roman" w:hAnsi="Times New Roman" w:cs="Times New Roman"/>
        </w:rPr>
        <w:t xml:space="preserve"> </w:t>
      </w:r>
      <w:r w:rsidR="00D45965">
        <w:rPr>
          <w:rFonts w:ascii="Times New Roman" w:hAnsi="Times New Roman" w:cs="Times New Roman"/>
        </w:rPr>
        <w:t xml:space="preserve"> </w:t>
      </w:r>
      <w:r w:rsidR="005561E8" w:rsidRPr="00326F26">
        <w:rPr>
          <w:rFonts w:ascii="Times New Roman" w:hAnsi="Times New Roman" w:cs="Times New Roman"/>
          <w:i/>
          <w:iCs/>
        </w:rPr>
        <w:t>Id.</w:t>
      </w:r>
    </w:p>
  </w:footnote>
  <w:footnote w:id="7">
    <w:p w14:paraId="2CDFE450" w14:textId="77777777" w:rsidR="00796212" w:rsidRPr="005C2636" w:rsidRDefault="00796212" w:rsidP="00796212">
      <w:pPr>
        <w:pStyle w:val="FootnoteText"/>
        <w:spacing w:after="120"/>
        <w:ind w:firstLine="720"/>
        <w:rPr>
          <w:rFonts w:ascii="Times New Roman" w:hAnsi="Times New Roman" w:cs="Times New Roman"/>
        </w:rPr>
      </w:pPr>
      <w:r w:rsidRPr="00326F26">
        <w:rPr>
          <w:rStyle w:val="FootnoteReference"/>
          <w:rFonts w:ascii="Times New Roman" w:hAnsi="Times New Roman" w:cs="Times New Roman"/>
        </w:rPr>
        <w:footnoteRef/>
      </w:r>
      <w:r>
        <w:rPr>
          <w:rFonts w:ascii="Times New Roman" w:hAnsi="Times New Roman" w:cs="Times New Roman"/>
        </w:rPr>
        <w:t xml:space="preserve"> </w:t>
      </w:r>
      <w:r w:rsidRPr="00326F26">
        <w:rPr>
          <w:rFonts w:ascii="Times New Roman" w:hAnsi="Times New Roman" w:cs="Times New Roman"/>
        </w:rPr>
        <w:t xml:space="preserve"> </w:t>
      </w:r>
      <w:r>
        <w:rPr>
          <w:rFonts w:ascii="Times New Roman" w:hAnsi="Times New Roman" w:cs="Times New Roman"/>
          <w:i/>
          <w:iCs/>
        </w:rPr>
        <w:t xml:space="preserve">Id., </w:t>
      </w:r>
      <w:r w:rsidRPr="005C2636">
        <w:rPr>
          <w:rFonts w:ascii="Times New Roman" w:hAnsi="Times New Roman" w:cs="Times New Roman"/>
        </w:rPr>
        <w:t>at Exhibit C and D.</w:t>
      </w:r>
    </w:p>
  </w:footnote>
  <w:footnote w:id="8">
    <w:p w14:paraId="2446A3C9" w14:textId="77777777" w:rsidR="00796212" w:rsidRPr="005C2636" w:rsidRDefault="00796212" w:rsidP="00796212">
      <w:pPr>
        <w:pStyle w:val="FootnoteText"/>
        <w:spacing w:after="120"/>
        <w:ind w:firstLine="720"/>
        <w:rPr>
          <w:rFonts w:ascii="Times New Roman" w:hAnsi="Times New Roman" w:cs="Times New Roman"/>
        </w:rPr>
      </w:pPr>
      <w:r w:rsidRPr="00326F26">
        <w:rPr>
          <w:rStyle w:val="FootnoteReference"/>
          <w:rFonts w:ascii="Times New Roman" w:hAnsi="Times New Roman" w:cs="Times New Roman"/>
        </w:rPr>
        <w:footnoteRef/>
      </w:r>
      <w:r w:rsidRPr="00326F26">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i/>
          <w:iCs/>
        </w:rPr>
        <w:t xml:space="preserve">Id., </w:t>
      </w:r>
      <w:r w:rsidRPr="005C2636">
        <w:rPr>
          <w:rFonts w:ascii="Times New Roman" w:hAnsi="Times New Roman" w:cs="Times New Roman"/>
        </w:rPr>
        <w:t>at Exhibit 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B8AA3" w14:textId="2BD58C23" w:rsidR="00103B84" w:rsidRDefault="00103B84" w:rsidP="00103B84">
    <w:pPr>
      <w:pStyle w:val="Header"/>
    </w:pPr>
    <w:r>
      <w:t>Docket No. 52628                              Memorandum of Leila Guerrero</w:t>
    </w:r>
    <w:r>
      <w:tab/>
      <w:t>Page 2 of 3</w:t>
    </w:r>
  </w:p>
  <w:p w14:paraId="2CEC2EA3" w14:textId="77777777" w:rsidR="00103B84" w:rsidRDefault="00103B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7092" w14:textId="77777777" w:rsidR="00DA36E8" w:rsidRDefault="00DA36E8">
    <w:pPr>
      <w:pStyle w:val="Header"/>
      <w:jc w:val="center"/>
      <w:rPr>
        <w:b/>
        <w:i/>
        <w:sz w:val="38"/>
      </w:rPr>
    </w:pPr>
    <w:r>
      <w:rPr>
        <w:b/>
        <w:i/>
        <w:sz w:val="38"/>
      </w:rPr>
      <w:t>Public Utility Commission of Texas</w:t>
    </w:r>
  </w:p>
  <w:p w14:paraId="3554463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D176AA6" w14:textId="77777777" w:rsidR="00DA36E8" w:rsidRDefault="00DA36E8">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1D715" w14:textId="5650B96F" w:rsidR="00D87727" w:rsidRDefault="00D87727">
    <w:pPr>
      <w:pStyle w:val="Header"/>
    </w:pPr>
    <w:r>
      <w:t>Docket No. 5</w:t>
    </w:r>
    <w:r w:rsidR="000754D3">
      <w:t>262</w:t>
    </w:r>
    <w:r>
      <w:t>8</w:t>
    </w:r>
    <w:r w:rsidR="000754D3">
      <w:t xml:space="preserve">                              Memorandum of Leila </w:t>
    </w:r>
    <w:r>
      <w:t>Guerrero</w:t>
    </w:r>
    <w:r w:rsidR="00103B84">
      <w:tab/>
      <w:t>Page 3 of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AE29B72"/>
    <w:lvl w:ilvl="0">
      <w:numFmt w:val="decimal"/>
      <w:pStyle w:val="bulletfor11"/>
      <w:lvlText w:val="*"/>
      <w:lvlJc w:val="left"/>
    </w:lvl>
  </w:abstractNum>
  <w:abstractNum w:abstractNumId="1" w15:restartNumberingAfterBreak="0">
    <w:nsid w:val="2E146EB1"/>
    <w:multiLevelType w:val="hybridMultilevel"/>
    <w:tmpl w:val="3F96C716"/>
    <w:lvl w:ilvl="0" w:tplc="0A84B11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0"/>
    <w:lvlOverride w:ilvl="0">
      <w:lvl w:ilvl="0">
        <w:start w:val="1"/>
        <w:numFmt w:val="bullet"/>
        <w:pStyle w:val="bulletfor11"/>
        <w:lvlText w:val=""/>
        <w:lvlJc w:val="left"/>
        <w:pPr>
          <w:ind w:left="108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defaultTabStop w:val="720"/>
  <w:evenAndOddHeaders/>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DD2"/>
    <w:rsid w:val="0006525C"/>
    <w:rsid w:val="00074640"/>
    <w:rsid w:val="000754D3"/>
    <w:rsid w:val="000947D1"/>
    <w:rsid w:val="000A0854"/>
    <w:rsid w:val="000A4426"/>
    <w:rsid w:val="000B0F29"/>
    <w:rsid w:val="000B116D"/>
    <w:rsid w:val="000D540F"/>
    <w:rsid w:val="000E5BBE"/>
    <w:rsid w:val="000E7A68"/>
    <w:rsid w:val="00101C14"/>
    <w:rsid w:val="00103B84"/>
    <w:rsid w:val="00105B78"/>
    <w:rsid w:val="001240E7"/>
    <w:rsid w:val="00127675"/>
    <w:rsid w:val="0017731B"/>
    <w:rsid w:val="0019480B"/>
    <w:rsid w:val="001A1ABC"/>
    <w:rsid w:val="001B35A3"/>
    <w:rsid w:val="0020540C"/>
    <w:rsid w:val="002113B4"/>
    <w:rsid w:val="00211A42"/>
    <w:rsid w:val="002162E8"/>
    <w:rsid w:val="00247AE0"/>
    <w:rsid w:val="0026113E"/>
    <w:rsid w:val="00270274"/>
    <w:rsid w:val="00273784"/>
    <w:rsid w:val="0028111B"/>
    <w:rsid w:val="002E33FC"/>
    <w:rsid w:val="002F17C2"/>
    <w:rsid w:val="002F7265"/>
    <w:rsid w:val="00303A68"/>
    <w:rsid w:val="00312132"/>
    <w:rsid w:val="00323964"/>
    <w:rsid w:val="0032516B"/>
    <w:rsid w:val="00326F26"/>
    <w:rsid w:val="0033088C"/>
    <w:rsid w:val="0033341E"/>
    <w:rsid w:val="00376254"/>
    <w:rsid w:val="00380145"/>
    <w:rsid w:val="003A12E5"/>
    <w:rsid w:val="003B00B5"/>
    <w:rsid w:val="003B2118"/>
    <w:rsid w:val="003F354D"/>
    <w:rsid w:val="00401FD1"/>
    <w:rsid w:val="004103B6"/>
    <w:rsid w:val="00414C89"/>
    <w:rsid w:val="004249AC"/>
    <w:rsid w:val="004464D8"/>
    <w:rsid w:val="00465FB9"/>
    <w:rsid w:val="0048486E"/>
    <w:rsid w:val="00491B77"/>
    <w:rsid w:val="0049204D"/>
    <w:rsid w:val="00493D15"/>
    <w:rsid w:val="004A2378"/>
    <w:rsid w:val="004A278E"/>
    <w:rsid w:val="004D2EC7"/>
    <w:rsid w:val="004D46C7"/>
    <w:rsid w:val="004F46F2"/>
    <w:rsid w:val="00503A67"/>
    <w:rsid w:val="005157C6"/>
    <w:rsid w:val="00550B09"/>
    <w:rsid w:val="00555E69"/>
    <w:rsid w:val="005561E8"/>
    <w:rsid w:val="00596669"/>
    <w:rsid w:val="005A3CC6"/>
    <w:rsid w:val="005B119B"/>
    <w:rsid w:val="005B4C1C"/>
    <w:rsid w:val="005C2636"/>
    <w:rsid w:val="005E0F19"/>
    <w:rsid w:val="00601867"/>
    <w:rsid w:val="00603015"/>
    <w:rsid w:val="00621979"/>
    <w:rsid w:val="00641685"/>
    <w:rsid w:val="00641E0A"/>
    <w:rsid w:val="006521D9"/>
    <w:rsid w:val="00670F99"/>
    <w:rsid w:val="006832DD"/>
    <w:rsid w:val="00693C0C"/>
    <w:rsid w:val="006973F3"/>
    <w:rsid w:val="006A75D0"/>
    <w:rsid w:val="006B16D7"/>
    <w:rsid w:val="006B4B3C"/>
    <w:rsid w:val="006B7EF0"/>
    <w:rsid w:val="006F50CF"/>
    <w:rsid w:val="0071512B"/>
    <w:rsid w:val="00755EE6"/>
    <w:rsid w:val="007917C2"/>
    <w:rsid w:val="00796212"/>
    <w:rsid w:val="007A1AF9"/>
    <w:rsid w:val="007B54AE"/>
    <w:rsid w:val="007E4EE0"/>
    <w:rsid w:val="00814353"/>
    <w:rsid w:val="008262FF"/>
    <w:rsid w:val="008C310E"/>
    <w:rsid w:val="008C469B"/>
    <w:rsid w:val="008E34D1"/>
    <w:rsid w:val="0091083F"/>
    <w:rsid w:val="0092124B"/>
    <w:rsid w:val="009513E7"/>
    <w:rsid w:val="0099456E"/>
    <w:rsid w:val="00997227"/>
    <w:rsid w:val="009C230F"/>
    <w:rsid w:val="009C670D"/>
    <w:rsid w:val="009D34D5"/>
    <w:rsid w:val="00A070DD"/>
    <w:rsid w:val="00A7691E"/>
    <w:rsid w:val="00A8584E"/>
    <w:rsid w:val="00AA5037"/>
    <w:rsid w:val="00AB662E"/>
    <w:rsid w:val="00AD2D36"/>
    <w:rsid w:val="00AE2322"/>
    <w:rsid w:val="00AE3B01"/>
    <w:rsid w:val="00B02BD4"/>
    <w:rsid w:val="00B0516E"/>
    <w:rsid w:val="00B10936"/>
    <w:rsid w:val="00B16D26"/>
    <w:rsid w:val="00B31D28"/>
    <w:rsid w:val="00B33DDD"/>
    <w:rsid w:val="00B52A76"/>
    <w:rsid w:val="00B56DD2"/>
    <w:rsid w:val="00B83160"/>
    <w:rsid w:val="00B93698"/>
    <w:rsid w:val="00BB4561"/>
    <w:rsid w:val="00BC1A7A"/>
    <w:rsid w:val="00BC4F50"/>
    <w:rsid w:val="00BC79E0"/>
    <w:rsid w:val="00C2311A"/>
    <w:rsid w:val="00C679A0"/>
    <w:rsid w:val="00C81D90"/>
    <w:rsid w:val="00CA7119"/>
    <w:rsid w:val="00CB32A6"/>
    <w:rsid w:val="00CD2A48"/>
    <w:rsid w:val="00CD6612"/>
    <w:rsid w:val="00D22E0E"/>
    <w:rsid w:val="00D45965"/>
    <w:rsid w:val="00D5406B"/>
    <w:rsid w:val="00D87727"/>
    <w:rsid w:val="00DA0ADA"/>
    <w:rsid w:val="00DA36E8"/>
    <w:rsid w:val="00DB6349"/>
    <w:rsid w:val="00DE4C15"/>
    <w:rsid w:val="00DF4A84"/>
    <w:rsid w:val="00E00F77"/>
    <w:rsid w:val="00E52BC8"/>
    <w:rsid w:val="00E95A3F"/>
    <w:rsid w:val="00EA5690"/>
    <w:rsid w:val="00F23B66"/>
    <w:rsid w:val="00F3142D"/>
    <w:rsid w:val="00F807CB"/>
    <w:rsid w:val="00F923B2"/>
    <w:rsid w:val="00F92EB2"/>
    <w:rsid w:val="00FB68C3"/>
    <w:rsid w:val="00FC14D0"/>
    <w:rsid w:val="00FC4E79"/>
    <w:rsid w:val="00FD5585"/>
    <w:rsid w:val="00FF3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71177"/>
  <w15:chartTrackingRefBased/>
  <w15:docId w15:val="{075F4A1A-6C3E-4107-8C0A-F0B50D871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6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FootnoteText">
    <w:name w:val="footnote text"/>
    <w:basedOn w:val="Normal"/>
    <w:link w:val="FootnoteTextChar"/>
    <w:uiPriority w:val="99"/>
    <w:semiHidden/>
    <w:unhideWhenUsed/>
    <w:rsid w:val="00D22E0E"/>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D22E0E"/>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D22E0E"/>
    <w:rPr>
      <w:vertAlign w:val="superscript"/>
    </w:rPr>
  </w:style>
  <w:style w:type="character" w:styleId="CommentReference">
    <w:name w:val="annotation reference"/>
    <w:basedOn w:val="DefaultParagraphFont"/>
    <w:uiPriority w:val="99"/>
    <w:semiHidden/>
    <w:unhideWhenUsed/>
    <w:rsid w:val="00C679A0"/>
    <w:rPr>
      <w:sz w:val="16"/>
      <w:szCs w:val="16"/>
    </w:rPr>
  </w:style>
  <w:style w:type="paragraph" w:styleId="CommentText">
    <w:name w:val="annotation text"/>
    <w:basedOn w:val="Normal"/>
    <w:link w:val="CommentTextChar"/>
    <w:uiPriority w:val="99"/>
    <w:semiHidden/>
    <w:unhideWhenUsed/>
    <w:rsid w:val="00C679A0"/>
  </w:style>
  <w:style w:type="character" w:customStyle="1" w:styleId="CommentTextChar">
    <w:name w:val="Comment Text Char"/>
    <w:basedOn w:val="DefaultParagraphFont"/>
    <w:link w:val="CommentText"/>
    <w:uiPriority w:val="99"/>
    <w:semiHidden/>
    <w:rsid w:val="00C679A0"/>
  </w:style>
  <w:style w:type="paragraph" w:styleId="CommentSubject">
    <w:name w:val="annotation subject"/>
    <w:basedOn w:val="CommentText"/>
    <w:next w:val="CommentText"/>
    <w:link w:val="CommentSubjectChar"/>
    <w:uiPriority w:val="99"/>
    <w:semiHidden/>
    <w:unhideWhenUsed/>
    <w:rsid w:val="00C679A0"/>
    <w:rPr>
      <w:b/>
      <w:bCs/>
    </w:rPr>
  </w:style>
  <w:style w:type="character" w:customStyle="1" w:styleId="CommentSubjectChar">
    <w:name w:val="Comment Subject Char"/>
    <w:basedOn w:val="CommentTextChar"/>
    <w:link w:val="CommentSubject"/>
    <w:uiPriority w:val="99"/>
    <w:semiHidden/>
    <w:rsid w:val="00C679A0"/>
    <w:rPr>
      <w:b/>
      <w:bCs/>
    </w:rPr>
  </w:style>
  <w:style w:type="paragraph" w:styleId="Revision">
    <w:name w:val="Revision"/>
    <w:hidden/>
    <w:uiPriority w:val="99"/>
    <w:semiHidden/>
    <w:rsid w:val="005157C6"/>
  </w:style>
  <w:style w:type="paragraph" w:styleId="ListParagraph">
    <w:name w:val="List Paragraph"/>
    <w:basedOn w:val="Normal"/>
    <w:uiPriority w:val="34"/>
    <w:qFormat/>
    <w:rsid w:val="00B16D26"/>
    <w:pPr>
      <w:ind w:left="720"/>
      <w:contextualSpacing/>
    </w:pPr>
  </w:style>
  <w:style w:type="character" w:customStyle="1" w:styleId="bulletfor11Char">
    <w:name w:val="bullet for 1.1 Char"/>
    <w:basedOn w:val="DefaultParagraphFont"/>
    <w:link w:val="bulletfor11"/>
    <w:rsid w:val="0049204D"/>
  </w:style>
  <w:style w:type="paragraph" w:customStyle="1" w:styleId="bulletfor11">
    <w:name w:val="bullet for 1.1"/>
    <w:basedOn w:val="Normal"/>
    <w:link w:val="bulletfor11Char"/>
    <w:qFormat/>
    <w:rsid w:val="0049204D"/>
    <w:pPr>
      <w:numPr>
        <w:numId w:val="1"/>
      </w:numPr>
      <w:spacing w:after="60"/>
      <w:jc w:val="both"/>
    </w:pPr>
  </w:style>
  <w:style w:type="character" w:customStyle="1" w:styleId="HeaderChar">
    <w:name w:val="Header Char"/>
    <w:basedOn w:val="DefaultParagraphFont"/>
    <w:link w:val="Header"/>
    <w:uiPriority w:val="99"/>
    <w:rsid w:val="0049204D"/>
  </w:style>
  <w:style w:type="paragraph" w:customStyle="1" w:styleId="Default">
    <w:name w:val="Default"/>
    <w:rsid w:val="00FF3401"/>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0D54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3A12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26EFBFE829647DAAF3967F40283D8A3"/>
        <w:category>
          <w:name w:val="General"/>
          <w:gallery w:val="placeholder"/>
        </w:category>
        <w:types>
          <w:type w:val="bbPlcHdr"/>
        </w:types>
        <w:behaviors>
          <w:behavior w:val="content"/>
        </w:behaviors>
        <w:guid w:val="{6A07CE9D-AF4C-43C7-BC71-22FC476539C3}"/>
      </w:docPartPr>
      <w:docPartBody>
        <w:p w:rsidR="00A55125" w:rsidRDefault="008803C3" w:rsidP="008803C3">
          <w:pPr>
            <w:pStyle w:val="C26EFBFE829647DAAF3967F40283D8A3"/>
          </w:pPr>
          <w:r w:rsidRPr="00C40827">
            <w:rPr>
              <w:rStyle w:val="PlaceholderText"/>
              <w:rFonts w:eastAsiaTheme="minorHAnsi"/>
            </w:rPr>
            <w:t>Click here to enter text.</w:t>
          </w:r>
        </w:p>
      </w:docPartBody>
    </w:docPart>
    <w:docPart>
      <w:docPartPr>
        <w:name w:val="518B4ED4C67A4681A5F9EB06B489242C"/>
        <w:category>
          <w:name w:val="General"/>
          <w:gallery w:val="placeholder"/>
        </w:category>
        <w:types>
          <w:type w:val="bbPlcHdr"/>
        </w:types>
        <w:behaviors>
          <w:behavior w:val="content"/>
        </w:behaviors>
        <w:guid w:val="{4FB31C1C-8444-4399-804C-6AEAC6D8DC6D}"/>
      </w:docPartPr>
      <w:docPartBody>
        <w:p w:rsidR="00A55125" w:rsidRDefault="008803C3" w:rsidP="008803C3">
          <w:pPr>
            <w:pStyle w:val="518B4ED4C67A4681A5F9EB06B489242C"/>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3C3"/>
    <w:rsid w:val="00091A6B"/>
    <w:rsid w:val="001A46D4"/>
    <w:rsid w:val="00281202"/>
    <w:rsid w:val="002E6B30"/>
    <w:rsid w:val="003724C1"/>
    <w:rsid w:val="00444DA6"/>
    <w:rsid w:val="00616D53"/>
    <w:rsid w:val="006A679E"/>
    <w:rsid w:val="00736A52"/>
    <w:rsid w:val="008803C3"/>
    <w:rsid w:val="00920285"/>
    <w:rsid w:val="00A55125"/>
    <w:rsid w:val="00C440AA"/>
    <w:rsid w:val="00D7592C"/>
    <w:rsid w:val="00DF4611"/>
    <w:rsid w:val="00E96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03C3"/>
    <w:rPr>
      <w:color w:val="808080"/>
    </w:rPr>
  </w:style>
  <w:style w:type="paragraph" w:customStyle="1" w:styleId="C26EFBFE829647DAAF3967F40283D8A3">
    <w:name w:val="C26EFBFE829647DAAF3967F40283D8A3"/>
    <w:rsid w:val="008803C3"/>
  </w:style>
  <w:style w:type="paragraph" w:customStyle="1" w:styleId="518B4ED4C67A4681A5F9EB06B489242C">
    <w:name w:val="518B4ED4C67A4681A5F9EB06B489242C"/>
    <w:rsid w:val="008803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E2570-7368-4FDC-B4CA-C8DEEE030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761</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Leila Guerrero</dc:creator>
  <cp:keywords/>
  <cp:lastModifiedBy>Forrest Smith</cp:lastModifiedBy>
  <cp:revision>4</cp:revision>
  <dcterms:created xsi:type="dcterms:W3CDTF">2021-12-06T13:39:00Z</dcterms:created>
  <dcterms:modified xsi:type="dcterms:W3CDTF">2021-12-06T18:34:00Z</dcterms:modified>
</cp:coreProperties>
</file>